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E34C" w14:textId="60DBBFE1" w:rsidR="00A34FF3" w:rsidRPr="004C017E" w:rsidRDefault="00A34FF3" w:rsidP="00A34FF3">
      <w:pPr>
        <w:autoSpaceDE w:val="0"/>
        <w:autoSpaceDN w:val="0"/>
        <w:adjustRightInd w:val="0"/>
        <w:spacing w:after="0" w:line="240" w:lineRule="auto"/>
        <w:jc w:val="both"/>
        <w:rPr>
          <w:rFonts w:ascii="Times New Roman" w:hAnsi="Times New Roman" w:cs="Times New Roman"/>
          <w:b/>
          <w:bCs/>
          <w:color w:val="000000"/>
          <w:sz w:val="28"/>
          <w:szCs w:val="24"/>
        </w:rPr>
      </w:pPr>
      <w:r w:rsidRPr="004C017E">
        <w:rPr>
          <w:rFonts w:ascii="Times New Roman" w:hAnsi="Times New Roman" w:cs="Times New Roman"/>
          <w:b/>
          <w:bCs/>
          <w:color w:val="000000"/>
          <w:sz w:val="28"/>
          <w:szCs w:val="24"/>
        </w:rPr>
        <w:t>L’ostentazione della ricchezza</w:t>
      </w:r>
    </w:p>
    <w:p w14:paraId="2FB7D113" w14:textId="77777777" w:rsidR="00A34FF3" w:rsidRDefault="00A34FF3" w:rsidP="00A34FF3">
      <w:pPr>
        <w:autoSpaceDE w:val="0"/>
        <w:autoSpaceDN w:val="0"/>
        <w:adjustRightInd w:val="0"/>
        <w:spacing w:after="0" w:line="240" w:lineRule="auto"/>
        <w:jc w:val="both"/>
        <w:rPr>
          <w:rFonts w:ascii="Times New Roman" w:hAnsi="Times New Roman" w:cs="Times New Roman"/>
          <w:i/>
          <w:color w:val="000000"/>
          <w:sz w:val="24"/>
          <w:szCs w:val="24"/>
        </w:rPr>
      </w:pPr>
    </w:p>
    <w:p w14:paraId="57F2BB31" w14:textId="695CFF37" w:rsidR="00A34FF3" w:rsidRPr="004C017E" w:rsidRDefault="00A34FF3" w:rsidP="00A34FF3">
      <w:pPr>
        <w:autoSpaceDE w:val="0"/>
        <w:autoSpaceDN w:val="0"/>
        <w:adjustRightInd w:val="0"/>
        <w:spacing w:after="0" w:line="240" w:lineRule="auto"/>
        <w:jc w:val="both"/>
        <w:rPr>
          <w:rFonts w:ascii="Times New Roman" w:hAnsi="Times New Roman" w:cs="Times New Roman"/>
          <w:i/>
          <w:color w:val="000000"/>
          <w:sz w:val="24"/>
          <w:szCs w:val="24"/>
        </w:rPr>
      </w:pPr>
      <w:r w:rsidRPr="004C017E">
        <w:rPr>
          <w:rFonts w:ascii="Times New Roman" w:hAnsi="Times New Roman" w:cs="Times New Roman"/>
          <w:i/>
          <w:color w:val="000000"/>
          <w:sz w:val="24"/>
          <w:szCs w:val="24"/>
        </w:rPr>
        <w:t xml:space="preserve">Nel </w:t>
      </w:r>
      <w:r w:rsidRPr="004C017E">
        <w:rPr>
          <w:rFonts w:ascii="Times New Roman" w:hAnsi="Times New Roman" w:cs="Times New Roman"/>
          <w:iCs/>
          <w:color w:val="000000"/>
          <w:sz w:val="24"/>
          <w:szCs w:val="24"/>
        </w:rPr>
        <w:t>Nigrino</w:t>
      </w:r>
      <w:r w:rsidRPr="004C017E">
        <w:rPr>
          <w:rFonts w:ascii="Times New Roman" w:hAnsi="Times New Roman" w:cs="Times New Roman"/>
          <w:i/>
          <w:iCs/>
          <w:color w:val="000000"/>
          <w:sz w:val="24"/>
          <w:szCs w:val="24"/>
        </w:rPr>
        <w:t xml:space="preserve"> </w:t>
      </w:r>
      <w:r w:rsidRPr="0023043C">
        <w:rPr>
          <w:rFonts w:ascii="Times New Roman" w:hAnsi="Times New Roman" w:cs="Times New Roman"/>
          <w:b/>
          <w:bCs/>
          <w:i/>
          <w:color w:val="000000"/>
          <w:sz w:val="24"/>
          <w:szCs w:val="24"/>
        </w:rPr>
        <w:t>Luciano</w:t>
      </w:r>
      <w:r w:rsidRPr="004C017E">
        <w:rPr>
          <w:rFonts w:ascii="Times New Roman" w:hAnsi="Times New Roman" w:cs="Times New Roman"/>
          <w:i/>
          <w:color w:val="000000"/>
          <w:sz w:val="24"/>
          <w:szCs w:val="24"/>
        </w:rPr>
        <w:t xml:space="preserve"> racconta a un amico l’incontro con il filosofo Nigrino a Roma, riferendo i discorsi che ha udito da costui e, in particolare, la sua critica nei confronti dei costumi degenerati dell’Urbe. Nel passo riportato il filosofo riflette sull’eccessivo valore attribuito alla ricchezza e alla sua ostentazione.</w:t>
      </w:r>
    </w:p>
    <w:p w14:paraId="160425E3" w14:textId="77777777" w:rsidR="00A34FF3" w:rsidRPr="009E7070" w:rsidRDefault="00A34FF3" w:rsidP="00A34FF3">
      <w:pPr>
        <w:autoSpaceDE w:val="0"/>
        <w:autoSpaceDN w:val="0"/>
        <w:adjustRightInd w:val="0"/>
        <w:spacing w:after="0" w:line="240" w:lineRule="auto"/>
        <w:jc w:val="both"/>
        <w:rPr>
          <w:rFonts w:ascii="Times New Roman" w:hAnsi="Times New Roman" w:cs="Times New Roman"/>
          <w:color w:val="000000"/>
          <w:sz w:val="24"/>
          <w:szCs w:val="24"/>
        </w:rPr>
      </w:pPr>
    </w:p>
    <w:p w14:paraId="23A45498" w14:textId="77777777" w:rsidR="0023043C" w:rsidRDefault="00A34FF3" w:rsidP="00A34FF3">
      <w:pPr>
        <w:tabs>
          <w:tab w:val="left" w:pos="1276"/>
        </w:tabs>
        <w:autoSpaceDE w:val="0"/>
        <w:autoSpaceDN w:val="0"/>
        <w:adjustRightInd w:val="0"/>
        <w:spacing w:after="0" w:line="240" w:lineRule="auto"/>
        <w:jc w:val="both"/>
        <w:rPr>
          <w:rFonts w:ascii="Times New Roman" w:hAnsi="Times New Roman" w:cs="Times New Roman"/>
          <w:b/>
          <w:bCs/>
          <w:color w:val="666666"/>
          <w:sz w:val="24"/>
          <w:szCs w:val="24"/>
        </w:rPr>
      </w:pPr>
      <w:r w:rsidRPr="0023043C">
        <w:rPr>
          <w:rFonts w:ascii="Times New Roman" w:hAnsi="Times New Roman" w:cs="Times New Roman"/>
          <w:b/>
          <w:bCs/>
          <w:sz w:val="24"/>
          <w:szCs w:val="24"/>
        </w:rPr>
        <w:t>pre-testo</w:t>
      </w:r>
      <w:r>
        <w:rPr>
          <w:rFonts w:ascii="Times New Roman" w:hAnsi="Times New Roman" w:cs="Times New Roman"/>
          <w:b/>
          <w:bCs/>
          <w:color w:val="666666"/>
          <w:sz w:val="24"/>
          <w:szCs w:val="24"/>
        </w:rPr>
        <w:tab/>
      </w:r>
    </w:p>
    <w:p w14:paraId="382E3C33" w14:textId="724E0D27" w:rsidR="00A34FF3" w:rsidRDefault="00A34FF3" w:rsidP="00A34FF3">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Come possono non essere ridicoli i ricchi nelle loro stesse persone, quando, mettendo in mostra le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vesti di porpora e protendendo le dita delle mani, denunciano il loro cattivo gusto, e quando – ciò</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che è più curioso – salutano quelli che incontrano con la voce di un altro, pensando che debbano</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essere contenti se li hanno soltanto guardati? [...]</w:t>
      </w:r>
    </w:p>
    <w:p w14:paraId="375B8B60" w14:textId="77777777" w:rsidR="0023043C" w:rsidRPr="009E7070" w:rsidRDefault="0023043C" w:rsidP="00A34FF3">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41EF9C15" w14:textId="77777777" w:rsidR="0023043C" w:rsidRDefault="00A34FF3" w:rsidP="00A34FF3">
      <w:pPr>
        <w:tabs>
          <w:tab w:val="left" w:pos="1276"/>
        </w:tabs>
        <w:autoSpaceDE w:val="0"/>
        <w:autoSpaceDN w:val="0"/>
        <w:adjustRightInd w:val="0"/>
        <w:spacing w:after="0" w:line="240" w:lineRule="auto"/>
        <w:jc w:val="both"/>
        <w:rPr>
          <w:rFonts w:ascii="Times New Roman" w:hAnsi="Times New Roman" w:cs="Times New Roman"/>
          <w:b/>
          <w:bCs/>
          <w:color w:val="666666"/>
          <w:sz w:val="24"/>
          <w:szCs w:val="24"/>
        </w:rPr>
      </w:pPr>
      <w:r w:rsidRPr="0023043C">
        <w:rPr>
          <w:rFonts w:ascii="Times New Roman" w:hAnsi="Times New Roman" w:cs="Times New Roman"/>
          <w:b/>
          <w:bCs/>
          <w:sz w:val="24"/>
          <w:szCs w:val="24"/>
        </w:rPr>
        <w:t>testo</w:t>
      </w:r>
      <w:r>
        <w:rPr>
          <w:rFonts w:ascii="Times New Roman" w:hAnsi="Times New Roman" w:cs="Times New Roman"/>
          <w:b/>
          <w:bCs/>
          <w:color w:val="666666"/>
          <w:sz w:val="24"/>
          <w:szCs w:val="24"/>
        </w:rPr>
        <w:tab/>
      </w:r>
    </w:p>
    <w:p w14:paraId="60C835FC" w14:textId="2043A421" w:rsidR="00A34FF3" w:rsidRDefault="00A34FF3" w:rsidP="00A34FF3">
      <w:pPr>
        <w:tabs>
          <w:tab w:val="left" w:pos="1276"/>
        </w:tabs>
        <w:autoSpaceDE w:val="0"/>
        <w:autoSpaceDN w:val="0"/>
        <w:adjustRightInd w:val="0"/>
        <w:spacing w:after="0" w:line="240" w:lineRule="auto"/>
        <w:jc w:val="both"/>
        <w:rPr>
          <w:rFonts w:ascii="Helvetica" w:hAnsi="Helvetica"/>
          <w:sz w:val="24"/>
          <w:szCs w:val="24"/>
        </w:rPr>
      </w:pPr>
      <w:r w:rsidRPr="00B41778">
        <w:rPr>
          <w:rFonts w:ascii="Helvetica" w:hAnsi="Helvetica"/>
          <w:sz w:val="24"/>
          <w:szCs w:val="24"/>
        </w:rPr>
        <w:t>Πολὺ δὲ τούτων οἱ προσιόντες αὐτοὶ καὶ θεραπεύοντες γελοιότεροι, νυκτὸς μὲν ἐξανιστάμενοι μέσης, περιθέοντες δὲ ἐν κύκλῳ τὴν πόλιν καὶ πρὸς τῶν οἰκετῶν ἀποκλειόμενοι, κύνες καὶ κόλακες καὶ τὰ τοιαῦτα ἀκούειν ὑπομένοντες. [...] Ἐγὼ</w:t>
      </w:r>
      <w:r w:rsidRPr="004C017E">
        <w:rPr>
          <w:rFonts w:ascii="OdysseaU" w:hAnsi="OdysseaU" w:cs="Times New Roman"/>
          <w:b/>
          <w:bCs/>
          <w:color w:val="595959" w:themeColor="text1" w:themeTint="A6"/>
          <w:sz w:val="24"/>
          <w:szCs w:val="24"/>
          <w:vertAlign w:val="superscript"/>
        </w:rPr>
        <w:t>1</w:t>
      </w:r>
      <w:r>
        <w:rPr>
          <w:rFonts w:ascii="OdysseaU" w:hAnsi="OdysseaU" w:cs="Times New Roman"/>
          <w:b/>
          <w:bCs/>
          <w:color w:val="595959" w:themeColor="text1" w:themeTint="A6"/>
          <w:sz w:val="24"/>
          <w:szCs w:val="24"/>
          <w:vertAlign w:val="superscript"/>
        </w:rPr>
        <w:t xml:space="preserve"> </w:t>
      </w:r>
      <w:r w:rsidRPr="00B41778">
        <w:rPr>
          <w:rFonts w:ascii="Helvetica" w:hAnsi="Helvetica"/>
          <w:sz w:val="24"/>
          <w:szCs w:val="24"/>
        </w:rPr>
        <w:t>μέντοι γε πολὺ τῶν κολακευομένων ἐξωλεστέρους τοὺς κόλακας ὑπείληφα, καὶ σχεδὸν αὐτοὺς ἐκείνοις καθίστασθαι τῆς ὑπερηφανίας αἰτίους· ὅταν γὰρ αὐτῶν τὴν περιουσίαν θαυμάσωσιν καὶ τὸν χρυσὸν ἐπαινέσωσιν καὶ τοὺς πυλῶνας ἕωθεν ἐμπλήσωσιν καὶ προσελθόντες ὥσπερ δεσπότας προσείπωσιν, τί καὶ φρονήσειν ἐκείνους εἰκός ἐστιν;</w:t>
      </w:r>
    </w:p>
    <w:p w14:paraId="5DFC38F0" w14:textId="77777777" w:rsidR="0023043C" w:rsidRPr="004C017E" w:rsidRDefault="0023043C" w:rsidP="00A34FF3">
      <w:pPr>
        <w:tabs>
          <w:tab w:val="left" w:pos="1276"/>
        </w:tabs>
        <w:autoSpaceDE w:val="0"/>
        <w:autoSpaceDN w:val="0"/>
        <w:adjustRightInd w:val="0"/>
        <w:spacing w:after="0" w:line="240" w:lineRule="auto"/>
        <w:jc w:val="both"/>
        <w:rPr>
          <w:rFonts w:ascii="OdysseaU" w:hAnsi="OdysseaU" w:cs="Times New Roman"/>
          <w:color w:val="000000"/>
          <w:sz w:val="24"/>
          <w:szCs w:val="24"/>
        </w:rPr>
      </w:pPr>
    </w:p>
    <w:p w14:paraId="0626A114" w14:textId="77777777" w:rsidR="0023043C" w:rsidRPr="0023043C" w:rsidRDefault="00A34FF3" w:rsidP="00A34FF3">
      <w:pPr>
        <w:tabs>
          <w:tab w:val="left" w:pos="1276"/>
        </w:tabs>
        <w:autoSpaceDE w:val="0"/>
        <w:autoSpaceDN w:val="0"/>
        <w:adjustRightInd w:val="0"/>
        <w:spacing w:after="0" w:line="240" w:lineRule="auto"/>
        <w:jc w:val="both"/>
        <w:rPr>
          <w:rFonts w:ascii="Times New Roman" w:hAnsi="Times New Roman" w:cs="Times New Roman"/>
          <w:b/>
          <w:bCs/>
          <w:sz w:val="24"/>
          <w:szCs w:val="24"/>
        </w:rPr>
      </w:pPr>
      <w:r w:rsidRPr="0023043C">
        <w:rPr>
          <w:rFonts w:ascii="Times New Roman" w:hAnsi="Times New Roman" w:cs="Times New Roman"/>
          <w:b/>
          <w:bCs/>
          <w:sz w:val="24"/>
          <w:szCs w:val="24"/>
        </w:rPr>
        <w:t>post-testo</w:t>
      </w:r>
      <w:r w:rsidRPr="0023043C">
        <w:rPr>
          <w:rFonts w:ascii="Times New Roman" w:hAnsi="Times New Roman" w:cs="Times New Roman"/>
          <w:b/>
          <w:bCs/>
          <w:sz w:val="24"/>
          <w:szCs w:val="24"/>
        </w:rPr>
        <w:tab/>
      </w:r>
    </w:p>
    <w:p w14:paraId="7BCBECFE" w14:textId="30213CCF" w:rsidR="00A34FF3" w:rsidRPr="009E7070" w:rsidRDefault="00A34FF3" w:rsidP="00A34FF3">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Che se poi per una decisione comune si astenessero anche per poco da questa volontaria schiavitù,</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non pensi che andrebbero essi i ricchi, a loro volta, alle porte dei poveri a pregarli di non lasciare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senza testimoni oculari la loro felicità né priva di qualsiasi utilità la bellezza delle mense e la grandezza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delle abitazioni? Infatti non desiderano tanto di essere ricchi quanto di essere ritenuti felici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per la loro ricchezza. Ed è proprio così, che nessun vantaggio trae da una casa bellissima chi l’abita,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né dall’oro né dall’avorio, se nessuno ammira l’oggetto.</w:t>
      </w:r>
    </w:p>
    <w:p w14:paraId="594FD46B" w14:textId="77777777" w:rsidR="00A34FF3" w:rsidRPr="004C017E" w:rsidRDefault="00A34FF3" w:rsidP="00A34FF3">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4C017E">
        <w:rPr>
          <w:rFonts w:ascii="Times New Roman" w:eastAsia="FairfieldLTStd-Light" w:hAnsi="Times New Roman" w:cs="Times New Roman"/>
          <w:color w:val="000000"/>
          <w:sz w:val="20"/>
          <w:szCs w:val="24"/>
        </w:rPr>
        <w:t>(trad. V. Longo, UTET 2000)</w:t>
      </w:r>
    </w:p>
    <w:p w14:paraId="6694E85B" w14:textId="77777777" w:rsidR="00A34FF3" w:rsidRPr="004C017E"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0"/>
          <w:szCs w:val="24"/>
        </w:rPr>
      </w:pPr>
    </w:p>
    <w:p w14:paraId="79A2E2F1" w14:textId="77777777" w:rsidR="00A34FF3" w:rsidRPr="004C017E"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0"/>
          <w:szCs w:val="24"/>
        </w:rPr>
      </w:pPr>
      <w:r w:rsidRPr="004C017E">
        <w:rPr>
          <w:rFonts w:ascii="Times New Roman" w:hAnsi="Times New Roman" w:cs="Times New Roman"/>
          <w:b/>
          <w:color w:val="595959" w:themeColor="text1" w:themeTint="A6"/>
          <w:sz w:val="20"/>
          <w:szCs w:val="24"/>
        </w:rPr>
        <w:t>1.</w:t>
      </w:r>
      <w:r w:rsidRPr="004C017E">
        <w:rPr>
          <w:rFonts w:ascii="Times New Roman" w:hAnsi="Times New Roman" w:cs="Times New Roman"/>
          <w:color w:val="333333"/>
          <w:sz w:val="20"/>
          <w:szCs w:val="24"/>
        </w:rPr>
        <w:t xml:space="preserve"> </w:t>
      </w:r>
      <w:r w:rsidRPr="004C017E">
        <w:rPr>
          <w:rFonts w:ascii="Times New Roman" w:eastAsia="FairfieldLTStd-Light" w:hAnsi="Times New Roman" w:cs="Times New Roman"/>
          <w:color w:val="000000"/>
          <w:sz w:val="20"/>
          <w:szCs w:val="24"/>
        </w:rPr>
        <w:t>Nigrino parla in prima persona.</w:t>
      </w:r>
    </w:p>
    <w:p w14:paraId="78E9295D" w14:textId="77777777"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23E4D1B1"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1C4D455A" w14:textId="2734F029" w:rsidR="00A34FF3" w:rsidRPr="0023043C" w:rsidRDefault="0023043C" w:rsidP="00A34FF3">
      <w:pPr>
        <w:autoSpaceDE w:val="0"/>
        <w:autoSpaceDN w:val="0"/>
        <w:adjustRightInd w:val="0"/>
        <w:spacing w:after="0" w:line="240" w:lineRule="auto"/>
        <w:jc w:val="both"/>
        <w:rPr>
          <w:rFonts w:ascii="Times New Roman" w:hAnsi="Times New Roman" w:cs="Times New Roman"/>
          <w:b/>
          <w:bCs/>
          <w:sz w:val="24"/>
          <w:szCs w:val="24"/>
        </w:rPr>
      </w:pPr>
      <w:r w:rsidRPr="0023043C">
        <w:rPr>
          <w:rFonts w:ascii="Times New Roman" w:eastAsia="ZapfDingbatsStd" w:hAnsi="Times New Roman" w:cs="Times New Roman"/>
          <w:b/>
          <w:bCs/>
          <w:sz w:val="24"/>
          <w:szCs w:val="24"/>
        </w:rPr>
        <w:t>Testo a c</w:t>
      </w:r>
      <w:r w:rsidR="00A34FF3" w:rsidRPr="0023043C">
        <w:rPr>
          <w:rFonts w:ascii="Times New Roman" w:hAnsi="Times New Roman" w:cs="Times New Roman"/>
          <w:b/>
          <w:bCs/>
          <w:sz w:val="24"/>
          <w:szCs w:val="24"/>
        </w:rPr>
        <w:t>onfronto</w:t>
      </w:r>
    </w:p>
    <w:p w14:paraId="5B6A3D33" w14:textId="77777777" w:rsidR="00A34FF3" w:rsidRPr="004C017E" w:rsidRDefault="00A34FF3" w:rsidP="00A34FF3">
      <w:pPr>
        <w:autoSpaceDE w:val="0"/>
        <w:autoSpaceDN w:val="0"/>
        <w:adjustRightInd w:val="0"/>
        <w:spacing w:after="0" w:line="240" w:lineRule="auto"/>
        <w:jc w:val="both"/>
        <w:rPr>
          <w:rFonts w:ascii="Times New Roman" w:hAnsi="Times New Roman" w:cs="Times New Roman"/>
          <w:i/>
          <w:color w:val="000000"/>
          <w:sz w:val="24"/>
          <w:szCs w:val="24"/>
        </w:rPr>
      </w:pPr>
    </w:p>
    <w:p w14:paraId="15BAAD83" w14:textId="77777777" w:rsidR="00A34FF3" w:rsidRPr="004C017E" w:rsidRDefault="00A34FF3" w:rsidP="00A34FF3">
      <w:pPr>
        <w:autoSpaceDE w:val="0"/>
        <w:autoSpaceDN w:val="0"/>
        <w:adjustRightInd w:val="0"/>
        <w:spacing w:after="0" w:line="240" w:lineRule="auto"/>
        <w:jc w:val="both"/>
        <w:rPr>
          <w:rFonts w:ascii="Times New Roman" w:hAnsi="Times New Roman" w:cs="Times New Roman"/>
          <w:i/>
          <w:color w:val="000000"/>
          <w:sz w:val="24"/>
          <w:szCs w:val="24"/>
        </w:rPr>
      </w:pPr>
      <w:r w:rsidRPr="004C017E">
        <w:rPr>
          <w:rFonts w:ascii="Times New Roman" w:hAnsi="Times New Roman" w:cs="Times New Roman"/>
          <w:i/>
          <w:color w:val="000000"/>
          <w:sz w:val="24"/>
          <w:szCs w:val="24"/>
        </w:rPr>
        <w:t xml:space="preserve">Nel </w:t>
      </w:r>
      <w:r w:rsidRPr="004C017E">
        <w:rPr>
          <w:rFonts w:ascii="Times New Roman" w:hAnsi="Times New Roman" w:cs="Times New Roman"/>
          <w:iCs/>
          <w:color w:val="000000"/>
          <w:sz w:val="24"/>
          <w:szCs w:val="24"/>
        </w:rPr>
        <w:t>Satyricon</w:t>
      </w:r>
      <w:r w:rsidRPr="004C017E">
        <w:rPr>
          <w:rFonts w:ascii="Times New Roman" w:hAnsi="Times New Roman" w:cs="Times New Roman"/>
          <w:i/>
          <w:iCs/>
          <w:color w:val="000000"/>
          <w:sz w:val="24"/>
          <w:szCs w:val="24"/>
        </w:rPr>
        <w:t xml:space="preserve"> </w:t>
      </w:r>
      <w:r w:rsidRPr="004C017E">
        <w:rPr>
          <w:rFonts w:ascii="Times New Roman" w:hAnsi="Times New Roman" w:cs="Times New Roman"/>
          <w:i/>
          <w:color w:val="000000"/>
          <w:sz w:val="24"/>
          <w:szCs w:val="24"/>
        </w:rPr>
        <w:t xml:space="preserve">di </w:t>
      </w:r>
      <w:r w:rsidRPr="0023043C">
        <w:rPr>
          <w:rFonts w:ascii="Times New Roman" w:hAnsi="Times New Roman" w:cs="Times New Roman"/>
          <w:b/>
          <w:bCs/>
          <w:i/>
          <w:color w:val="000000"/>
          <w:sz w:val="24"/>
          <w:szCs w:val="24"/>
        </w:rPr>
        <w:t>Petronio</w:t>
      </w:r>
      <w:r w:rsidRPr="004C017E">
        <w:rPr>
          <w:rFonts w:ascii="Times New Roman" w:hAnsi="Times New Roman" w:cs="Times New Roman"/>
          <w:i/>
          <w:color w:val="000000"/>
          <w:sz w:val="24"/>
          <w:szCs w:val="24"/>
        </w:rPr>
        <w:t xml:space="preserve"> il liberto Trimalchione fa il suo teatrale ingresso al banchetto da lui offerto, a cui partecipano anche i protagonisti del romanzo. La cena è già iniziata e i convitati hanno avuto modo di apprezzare la sontuosità del simposio, accompagnato da trovate ingegnose e spettacolari. Il padrone di casa esibisce trionfalmente la sua ricchezza a partire dall’abbigliamento e dai monili che indossa.</w:t>
      </w:r>
    </w:p>
    <w:p w14:paraId="359F4837" w14:textId="77777777" w:rsidR="00A34FF3" w:rsidRPr="009E7070" w:rsidRDefault="00A34FF3" w:rsidP="00A34FF3">
      <w:pPr>
        <w:autoSpaceDE w:val="0"/>
        <w:autoSpaceDN w:val="0"/>
        <w:adjustRightInd w:val="0"/>
        <w:spacing w:after="0" w:line="240" w:lineRule="auto"/>
        <w:jc w:val="both"/>
        <w:rPr>
          <w:rFonts w:ascii="Times New Roman" w:hAnsi="Times New Roman" w:cs="Times New Roman"/>
          <w:color w:val="000000"/>
          <w:sz w:val="24"/>
          <w:szCs w:val="24"/>
        </w:rPr>
      </w:pPr>
    </w:p>
    <w:p w14:paraId="3AA246B7" w14:textId="77777777"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In his eramus lautitiis, cum ipse Trimalchio ad symphoniam allatus est positusque inter</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cervicalia munitissima expressit imprudentibus risum. Pallio enim coccineo adrasum</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excluserat caput circaque oneratas veste cervices laticlaviam immiserat mappam fimbriis</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hinc atque illinc pendentibus. Habebat etiam in minimo digito sinistrae manus anulum</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grandem subauratum, extremo vero articulo digiti sequentis minorem, ut mihi videbatur, totum aureum, sed plane ferreis veluti stellis ferruminatum. Et ne has tantum ostenderet</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divitias, dextrum nudavit lacertum armilla aurea cultum et eboreo circulo lamina splendente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conexo. Ut deinde pinna argentea dentes perfodit, «Amici», inquit «nondum mihi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suave erat in triclinium venire, sed ne diutius absentivus morae vobis essem, omnem voluptatem</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 xml:space="preserve">mihi </w:t>
      </w:r>
      <w:r w:rsidRPr="009E7070">
        <w:rPr>
          <w:rFonts w:ascii="Times New Roman" w:eastAsia="FairfieldLTStd-Light" w:hAnsi="Times New Roman" w:cs="Times New Roman"/>
          <w:color w:val="000000"/>
          <w:sz w:val="24"/>
          <w:szCs w:val="24"/>
        </w:rPr>
        <w:lastRenderedPageBreak/>
        <w:t>negavi. Permittitis tamen finiri lusum». Sequebatur puer cum tabula terebinthina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et crystallinis tesseris, notavique rem omnium delicatissimam. Pro calculis enim</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albis ac nigris aureos argenteosque habebat denarios.</w:t>
      </w:r>
    </w:p>
    <w:p w14:paraId="7E7FA10F"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0152C0B4" w14:textId="34EE226F"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Eravamo immersi in queste prelibatezze, quando fu portato a tavola Trimalchione in persona 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suon di musica: venne adagiato in mezzo ad un mare di guanciali imbottiti da scoppiare e questo</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spettacolo ci strappò delle risate inconsulte. Da un mantello scarlatto sbucava infatti la sua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testa pelata e intorno al collo, infagottato dal vestito, aveva rincalzato un bavaglio con una larga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balza purpurea dal quale pendevano qua e là delle frange. Al dito mignolo della mano sinistra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portava anche un grande anello, placcato d’oro, mentre all’ultima falange del medio un anello</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più piccolo, d’oro massiccio, per quel che potevo giudicare, ma tutto intarsiato con pezzetti di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ferro saldato, a mo’ di stelline. E, per non limitarsi ad ostentare solo questi gioielli, si scoprì il</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braccio destro, ornato di un bracciale d’oro e di un cerchio d’avorio intrecciato con una lamina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luccicante. Dopo essersi perlustrato i denti con uno stecchino d’argento, disse: «Amici, non ero</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ancora in comodo per venire a tavola ma, per evitare di prolungare la vostra attesa continuando</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a non presentarmi, ho deciso di rinunciare ad ogni mio divertimento. Mi consentirete, tuttavia,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di finire la partita». Lo seguiva un valletto con una scacchiera di legno di terebinto e dei dadi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di cristallo; ebbi in più modo di notare un particolare estremamente raffinato: invece di pedine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bianche e nere, Trimalchione usava monete d’oro e d’argento.</w:t>
      </w:r>
    </w:p>
    <w:p w14:paraId="2EABBF33" w14:textId="77777777" w:rsidR="0023043C" w:rsidRPr="009E7070" w:rsidRDefault="0023043C"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5EB75D6E" w14:textId="77777777" w:rsidR="00A34FF3" w:rsidRPr="004C017E" w:rsidRDefault="00A34FF3" w:rsidP="00A34FF3">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4C017E">
        <w:rPr>
          <w:rFonts w:ascii="Times New Roman" w:eastAsia="FairfieldLTStd-Light" w:hAnsi="Times New Roman" w:cs="Times New Roman"/>
          <w:color w:val="000000"/>
          <w:sz w:val="20"/>
          <w:szCs w:val="24"/>
        </w:rPr>
        <w:t>(trad. A. Aragosti, BUR 1995)</w:t>
      </w:r>
    </w:p>
    <w:p w14:paraId="3B882CF7" w14:textId="77777777"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2E497D46"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5457BEC5"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b/>
          <w:bCs/>
          <w:color w:val="000000"/>
          <w:sz w:val="24"/>
          <w:szCs w:val="24"/>
        </w:rPr>
        <w:t xml:space="preserve">1. </w:t>
      </w:r>
      <w:r w:rsidRPr="004C017E">
        <w:rPr>
          <w:rFonts w:ascii="Times New Roman" w:eastAsia="FairfieldLTStd-Light" w:hAnsi="Times New Roman" w:cs="Times New Roman"/>
          <w:b/>
          <w:color w:val="000000"/>
          <w:sz w:val="24"/>
          <w:szCs w:val="24"/>
        </w:rPr>
        <w:t>Comprensione/interpretazione</w:t>
      </w:r>
    </w:p>
    <w:p w14:paraId="453E6B53" w14:textId="2C49F1F6"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Soffermati sull’ultima frase del testo di Luciano e spiega se in Petronio è in qualche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modo esemplificato il pensiero espresso dall’autore greco, argomentando le tue affermazioni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con opportuni riferimenti al passo latino.</w:t>
      </w:r>
    </w:p>
    <w:p w14:paraId="2BD42603" w14:textId="77777777" w:rsidR="007C17FF" w:rsidRPr="009E7070" w:rsidRDefault="007C17FF"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06A82E3D"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b/>
          <w:bCs/>
          <w:color w:val="000000"/>
          <w:sz w:val="24"/>
          <w:szCs w:val="24"/>
        </w:rPr>
      </w:pPr>
      <w:r w:rsidRPr="009E7070">
        <w:rPr>
          <w:rFonts w:ascii="Times New Roman" w:eastAsia="FairfieldLTStd-Light" w:hAnsi="Times New Roman" w:cs="Times New Roman"/>
          <w:b/>
          <w:bCs/>
          <w:color w:val="000000"/>
          <w:sz w:val="24"/>
          <w:szCs w:val="24"/>
        </w:rPr>
        <w:t>2. Analisi linguistica e/o stilistica ai fini dell’interpretazione</w:t>
      </w:r>
    </w:p>
    <w:p w14:paraId="7D02A0E4" w14:textId="04C30B0C" w:rsidR="00A34FF3"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Attraverso quale ricorrente struttura sintattica (tieni conto sia della sezione tradotta</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sia di quella in greco) Luciano riporta lo sprezzante giudizio di Nigrino nei confronti dei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ricchi e dei loro adulatori? Con quale modalità, invece, Petronio presenta l’ostentazione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di ricchezza di Trimalchione?</w:t>
      </w:r>
    </w:p>
    <w:p w14:paraId="498B898D" w14:textId="77777777" w:rsidR="007C17FF" w:rsidRPr="009E7070" w:rsidRDefault="007C17FF"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68E336A6"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b/>
          <w:bCs/>
          <w:color w:val="000000"/>
          <w:sz w:val="24"/>
          <w:szCs w:val="24"/>
        </w:rPr>
      </w:pPr>
      <w:r w:rsidRPr="009E7070">
        <w:rPr>
          <w:rFonts w:ascii="Times New Roman" w:eastAsia="FairfieldLTStd-Light" w:hAnsi="Times New Roman" w:cs="Times New Roman"/>
          <w:b/>
          <w:bCs/>
          <w:color w:val="000000"/>
          <w:sz w:val="24"/>
          <w:szCs w:val="24"/>
        </w:rPr>
        <w:t>3. Approfondimento e riflessioni personali</w:t>
      </w:r>
    </w:p>
    <w:p w14:paraId="6FB466D4" w14:textId="77777777" w:rsidR="00A34FF3" w:rsidRPr="009E7070" w:rsidRDefault="00A34FF3" w:rsidP="00A34FF3">
      <w:pPr>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E7070">
        <w:rPr>
          <w:rFonts w:ascii="Times New Roman" w:eastAsia="FairfieldLTStd-Light" w:hAnsi="Times New Roman" w:cs="Times New Roman"/>
          <w:color w:val="000000"/>
          <w:sz w:val="24"/>
          <w:szCs w:val="24"/>
        </w:rPr>
        <w:t>Il valore della ricchezza e il rapporto degli uomini con essa sono al centro della riflessione</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di Luciano e Petronio. Rifletti su tale tematica, anche alla luce di altre personali</w:t>
      </w:r>
      <w:r>
        <w:rPr>
          <w:rFonts w:ascii="Times New Roman" w:eastAsia="FairfieldLTStd-Light" w:hAnsi="Times New Roman" w:cs="Times New Roman"/>
          <w:color w:val="000000"/>
          <w:sz w:val="24"/>
          <w:szCs w:val="24"/>
        </w:rPr>
        <w:t xml:space="preserve"> </w:t>
      </w:r>
      <w:r w:rsidRPr="009E7070">
        <w:rPr>
          <w:rFonts w:ascii="Times New Roman" w:eastAsia="FairfieldLTStd-Light" w:hAnsi="Times New Roman" w:cs="Times New Roman"/>
          <w:color w:val="000000"/>
          <w:sz w:val="24"/>
          <w:szCs w:val="24"/>
        </w:rPr>
        <w:t>letture di autori antichi.</w:t>
      </w:r>
    </w:p>
    <w:p w14:paraId="6A8D7F14" w14:textId="77777777" w:rsidR="00A34FF3" w:rsidRDefault="00A34FF3"/>
    <w:sectPr w:rsidR="00A34FF3">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83A5" w14:textId="77777777" w:rsidR="003B4D8B" w:rsidRDefault="003B4D8B" w:rsidP="00A34FF3">
      <w:pPr>
        <w:spacing w:after="0" w:line="240" w:lineRule="auto"/>
      </w:pPr>
      <w:r>
        <w:separator/>
      </w:r>
    </w:p>
  </w:endnote>
  <w:endnote w:type="continuationSeparator" w:id="0">
    <w:p w14:paraId="7746B55D" w14:textId="77777777" w:rsidR="003B4D8B" w:rsidRDefault="003B4D8B" w:rsidP="00A3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fieldLTStd-Light">
    <w:altName w:val="MS Mincho"/>
    <w:panose1 w:val="020B0604020202020204"/>
    <w:charset w:val="80"/>
    <w:family w:val="roman"/>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OdysseaU">
    <w:altName w:val="Times New Roman"/>
    <w:panose1 w:val="020B0604020202020204"/>
    <w:charset w:val="00"/>
    <w:family w:val="auto"/>
    <w:pitch w:val="variable"/>
    <w:sig w:usb0="C00000EF" w:usb1="1000006B" w:usb2="00000000" w:usb3="00000000" w:csb0="00000009" w:csb1="00000000"/>
  </w:font>
  <w:font w:name="ZapfDingbatsStd">
    <w:altName w:val="Times New Roman"/>
    <w:panose1 w:val="020B0604020202020204"/>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25651098"/>
      <w:docPartObj>
        <w:docPartGallery w:val="Page Numbers (Bottom of Page)"/>
        <w:docPartUnique/>
      </w:docPartObj>
    </w:sdtPr>
    <w:sdtEndPr>
      <w:rPr>
        <w:rStyle w:val="Numeropagina"/>
      </w:rPr>
    </w:sdtEndPr>
    <w:sdtContent>
      <w:p w14:paraId="20F3DB41" w14:textId="17CC59DF" w:rsidR="00A34FF3" w:rsidRDefault="00A34FF3"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AD96491" w14:textId="77777777" w:rsidR="00A34FF3" w:rsidRDefault="00A34FF3" w:rsidP="00A34FF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225875642"/>
      <w:docPartObj>
        <w:docPartGallery w:val="Page Numbers (Bottom of Page)"/>
        <w:docPartUnique/>
      </w:docPartObj>
    </w:sdtPr>
    <w:sdtEndPr>
      <w:rPr>
        <w:rStyle w:val="Numeropagina"/>
      </w:rPr>
    </w:sdtEndPr>
    <w:sdtContent>
      <w:p w14:paraId="52DC6CD8" w14:textId="5213A352" w:rsidR="00A34FF3" w:rsidRDefault="00A34FF3"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F3CD5D2" w14:textId="77777777" w:rsidR="0081359D" w:rsidRPr="00A00EF4" w:rsidRDefault="0081359D" w:rsidP="0081359D">
    <w:pPr>
      <w:pStyle w:val="Pidipagina"/>
      <w:rPr>
        <w:rFonts w:ascii="Arial" w:hAnsi="Arial" w:cs="Arial"/>
        <w:sz w:val="20"/>
        <w:szCs w:val="20"/>
      </w:rPr>
    </w:pPr>
    <w:r w:rsidRPr="00A00EF4">
      <w:rPr>
        <w:rFonts w:ascii="Arial" w:hAnsi="Arial" w:cs="Arial"/>
        <w:sz w:val="20"/>
        <w:szCs w:val="20"/>
        <w:shd w:val="clear" w:color="auto" w:fill="FFFFFF"/>
      </w:rPr>
      <w:t>© Pearson Italia S.p.A.</w:t>
    </w:r>
  </w:p>
  <w:p w14:paraId="73CB21CB" w14:textId="77777777" w:rsidR="00A34FF3" w:rsidRDefault="00A34FF3" w:rsidP="00A34FF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F7FF" w14:textId="77777777" w:rsidR="0081359D" w:rsidRDefault="008135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3872C" w14:textId="77777777" w:rsidR="003B4D8B" w:rsidRDefault="003B4D8B" w:rsidP="00A34FF3">
      <w:pPr>
        <w:spacing w:after="0" w:line="240" w:lineRule="auto"/>
      </w:pPr>
      <w:r>
        <w:separator/>
      </w:r>
    </w:p>
  </w:footnote>
  <w:footnote w:type="continuationSeparator" w:id="0">
    <w:p w14:paraId="7469CE0E" w14:textId="77777777" w:rsidR="003B4D8B" w:rsidRDefault="003B4D8B" w:rsidP="00A34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2D89" w14:textId="77777777" w:rsidR="0081359D" w:rsidRDefault="008135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9BEF" w14:textId="77777777" w:rsidR="0081359D" w:rsidRDefault="008135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1DFB" w14:textId="77777777" w:rsidR="0081359D" w:rsidRDefault="008135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3"/>
    <w:rsid w:val="001D7D20"/>
    <w:rsid w:val="0023043C"/>
    <w:rsid w:val="003B4D8B"/>
    <w:rsid w:val="007C17FF"/>
    <w:rsid w:val="0081359D"/>
    <w:rsid w:val="00A34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A14765"/>
  <w15:chartTrackingRefBased/>
  <w15:docId w15:val="{1685D726-3091-BB4E-833E-393EB456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FF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34F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FF3"/>
    <w:rPr>
      <w:sz w:val="22"/>
      <w:szCs w:val="22"/>
    </w:rPr>
  </w:style>
  <w:style w:type="character" w:styleId="Numeropagina">
    <w:name w:val="page number"/>
    <w:basedOn w:val="Carpredefinitoparagrafo"/>
    <w:uiPriority w:val="99"/>
    <w:semiHidden/>
    <w:unhideWhenUsed/>
    <w:rsid w:val="00A34FF3"/>
  </w:style>
  <w:style w:type="paragraph" w:styleId="Intestazione">
    <w:name w:val="header"/>
    <w:basedOn w:val="Normale"/>
    <w:link w:val="IntestazioneCarattere"/>
    <w:uiPriority w:val="99"/>
    <w:unhideWhenUsed/>
    <w:rsid w:val="008135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35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Pearson</dc:creator>
  <cp:keywords/>
  <dc:description/>
  <cp:lastModifiedBy>Redazione Pearson</cp:lastModifiedBy>
  <cp:revision>4</cp:revision>
  <dcterms:created xsi:type="dcterms:W3CDTF">2021-03-05T14:06:00Z</dcterms:created>
  <dcterms:modified xsi:type="dcterms:W3CDTF">2021-03-14T17:46:00Z</dcterms:modified>
</cp:coreProperties>
</file>