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33B9D" w14:textId="77777777" w:rsidR="00E80D3E" w:rsidRDefault="00E80D3E">
      <w:pPr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</w:pPr>
      <w:r w:rsidRPr="00587439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Soluzioni Test d’ingresso Antologia italiana – Primo anno</w:t>
      </w:r>
    </w:p>
    <w:p w14:paraId="7B62B306" w14:textId="77777777" w:rsidR="00E80D3E" w:rsidRDefault="00E80D3E"/>
    <w:p w14:paraId="147AE7D7" w14:textId="77777777" w:rsidR="00E80D3E" w:rsidRPr="00ED50EC" w:rsidRDefault="00E80D3E" w:rsidP="00E80D3E">
      <w:pPr>
        <w:jc w:val="both"/>
        <w:rPr>
          <w:rFonts w:ascii="Calibri" w:hAnsi="Calibri" w:cs="StoneSans-Semibold"/>
          <w:b/>
          <w:snapToGrid w:val="0"/>
          <w:sz w:val="36"/>
          <w:szCs w:val="36"/>
        </w:rPr>
      </w:pPr>
      <w:r w:rsidRPr="00ED50EC">
        <w:rPr>
          <w:rFonts w:ascii="Calibri" w:hAnsi="Calibri"/>
          <w:b/>
          <w:snapToGrid w:val="0"/>
          <w:color w:val="000000"/>
          <w:sz w:val="28"/>
          <w:szCs w:val="28"/>
        </w:rPr>
        <w:t>Analisi di un testo non letterario</w:t>
      </w:r>
    </w:p>
    <w:p w14:paraId="4A1CE3EB" w14:textId="77777777" w:rsidR="00E80D3E" w:rsidRPr="003356C5" w:rsidRDefault="00E80D3E" w:rsidP="00E80D3E">
      <w:pPr>
        <w:jc w:val="both"/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</w:pPr>
      <w:r w:rsidRPr="003356C5">
        <w:rPr>
          <w:rFonts w:ascii="Calibri" w:hAnsi="Calibri"/>
          <w:b/>
          <w:i/>
          <w:iCs/>
          <w:snapToGrid w:val="0"/>
          <w:color w:val="000000"/>
          <w:sz w:val="28"/>
          <w:szCs w:val="28"/>
        </w:rPr>
        <w:t>La forma della Terra</w:t>
      </w:r>
    </w:p>
    <w:p w14:paraId="51608CC8" w14:textId="77777777" w:rsidR="00E80D3E" w:rsidRPr="00B45319" w:rsidRDefault="00E80D3E" w:rsidP="00E80D3E">
      <w:pPr>
        <w:jc w:val="both"/>
        <w:rPr>
          <w:rFonts w:ascii="Calibri" w:hAnsi="Calibri"/>
          <w:b/>
          <w:snapToGrid w:val="0"/>
          <w:color w:val="000000"/>
          <w:sz w:val="28"/>
          <w:szCs w:val="28"/>
          <w:u w:val="single"/>
        </w:rPr>
      </w:pPr>
    </w:p>
    <w:p w14:paraId="0005A968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1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Ritenevano che fosse piatta e poco estesa, simile a un grande disco circondato dall’oceano e coperto dalla cupola celeste.</w:t>
      </w:r>
    </w:p>
    <w:p w14:paraId="7440989A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2.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Pitagora, nel V secolo a.C.</w:t>
      </w:r>
    </w:p>
    <w:p w14:paraId="6D2B3106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3.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Nel Quattrocento, per opera degli umanisti.</w:t>
      </w:r>
    </w:p>
    <w:p w14:paraId="2D049C28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4.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Il fatto che l’orizzonte aumenti di ampiezza con il crescere dell’altitudine del punto di osservazione e il fatto che l’altezza delle stelle sull’orizzonte cambi se il punto di osservazione si sposta lungo un meridiano terrestre.</w:t>
      </w:r>
    </w:p>
    <w:p w14:paraId="24E77071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5.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Le irregolarit</w:t>
      </w:r>
      <w:r>
        <w:rPr>
          <w:rFonts w:ascii="Calibri" w:eastAsiaTheme="minorEastAsia" w:hAnsi="Calibri"/>
          <w:sz w:val="22"/>
          <w:szCs w:val="22"/>
          <w:lang w:eastAsia="zh-CN"/>
        </w:rPr>
        <w:t>à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della superficie, come rilievi montuosi, valli, conche.</w:t>
      </w:r>
    </w:p>
    <w:p w14:paraId="5DD16495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6.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La cima pi</w:t>
      </w:r>
      <w:r>
        <w:rPr>
          <w:rFonts w:ascii="Calibri" w:eastAsiaTheme="minorEastAsia" w:hAnsi="Calibri"/>
          <w:sz w:val="22"/>
          <w:szCs w:val="22"/>
          <w:lang w:eastAsia="zh-CN"/>
        </w:rPr>
        <w:t>ù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elevata delle terre emerse </w:t>
      </w:r>
      <w:r>
        <w:rPr>
          <w:rFonts w:ascii="Calibri" w:eastAsiaTheme="minorEastAsia" w:hAnsi="Calibri"/>
          <w:sz w:val="22"/>
          <w:szCs w:val="22"/>
          <w:lang w:eastAsia="zh-CN"/>
        </w:rPr>
        <w:t>è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il monte Everest (8.872 m); la massima profondit</w:t>
      </w:r>
      <w:r>
        <w:rPr>
          <w:rFonts w:ascii="Calibri" w:eastAsiaTheme="minorEastAsia" w:hAnsi="Calibri"/>
          <w:sz w:val="22"/>
          <w:szCs w:val="22"/>
          <w:lang w:eastAsia="zh-CN"/>
        </w:rPr>
        <w:t>à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conosciuta </w:t>
      </w:r>
      <w:r>
        <w:rPr>
          <w:rFonts w:ascii="Calibri" w:eastAsiaTheme="minorEastAsia" w:hAnsi="Calibri"/>
          <w:sz w:val="22"/>
          <w:szCs w:val="22"/>
          <w:lang w:eastAsia="zh-CN"/>
        </w:rPr>
        <w:t>è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la Fossa delle Filippine nell’oceano Pacifico (–11.516 m).</w:t>
      </w:r>
    </w:p>
    <w:p w14:paraId="450C978C" w14:textId="77777777" w:rsidR="00E80D3E" w:rsidRPr="001929DC" w:rsidRDefault="00E80D3E" w:rsidP="00E80D3E">
      <w:pPr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7.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80D3E" w:rsidRPr="001929DC" w14:paraId="6A37BFD7" w14:textId="77777777" w:rsidTr="001D4DEB">
        <w:trPr>
          <w:trHeight w:val="419"/>
        </w:trPr>
        <w:tc>
          <w:tcPr>
            <w:tcW w:w="1555" w:type="dxa"/>
          </w:tcPr>
          <w:p w14:paraId="0F1EB386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P</w:t>
            </w: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aragrafi</w:t>
            </w:r>
          </w:p>
        </w:tc>
        <w:tc>
          <w:tcPr>
            <w:tcW w:w="7461" w:type="dxa"/>
          </w:tcPr>
          <w:p w14:paraId="27D9D11B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Titoli</w:t>
            </w:r>
          </w:p>
        </w:tc>
      </w:tr>
      <w:tr w:rsidR="00E80D3E" w:rsidRPr="005F487D" w14:paraId="30D56619" w14:textId="77777777" w:rsidTr="001D4DEB">
        <w:tc>
          <w:tcPr>
            <w:tcW w:w="1555" w:type="dxa"/>
          </w:tcPr>
          <w:p w14:paraId="77C77C6F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1° paragrafo</w:t>
            </w:r>
          </w:p>
        </w:tc>
        <w:tc>
          <w:tcPr>
            <w:tcW w:w="7461" w:type="dxa"/>
          </w:tcPr>
          <w:p w14:paraId="3AFDACA7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Dalla Terra “piatta” alla Terra “rotonda”</w:t>
            </w:r>
          </w:p>
        </w:tc>
      </w:tr>
      <w:tr w:rsidR="00E80D3E" w:rsidRPr="005F487D" w14:paraId="77EBB417" w14:textId="77777777" w:rsidTr="001D4DEB">
        <w:tc>
          <w:tcPr>
            <w:tcW w:w="1555" w:type="dxa"/>
          </w:tcPr>
          <w:p w14:paraId="05BAA859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2° paragrafo</w:t>
            </w:r>
          </w:p>
        </w:tc>
        <w:tc>
          <w:tcPr>
            <w:tcW w:w="7461" w:type="dxa"/>
          </w:tcPr>
          <w:p w14:paraId="64D91AF2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L’orizzonte sensibile e il nostro sguardo</w:t>
            </w:r>
          </w:p>
        </w:tc>
      </w:tr>
      <w:tr w:rsidR="00E80D3E" w:rsidRPr="005F487D" w14:paraId="7DBFA494" w14:textId="77777777" w:rsidTr="001D4DEB">
        <w:tc>
          <w:tcPr>
            <w:tcW w:w="1555" w:type="dxa"/>
          </w:tcPr>
          <w:p w14:paraId="2868D210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3° paragrafo</w:t>
            </w:r>
          </w:p>
        </w:tc>
        <w:tc>
          <w:tcPr>
            <w:tcW w:w="7461" w:type="dxa"/>
          </w:tcPr>
          <w:p w14:paraId="584F8574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La dimostrazione della sfericità della Terra</w:t>
            </w:r>
          </w:p>
        </w:tc>
      </w:tr>
      <w:tr w:rsidR="00E80D3E" w:rsidRPr="005F487D" w14:paraId="76D9A43E" w14:textId="77777777" w:rsidTr="001D4DEB">
        <w:tc>
          <w:tcPr>
            <w:tcW w:w="1555" w:type="dxa"/>
          </w:tcPr>
          <w:p w14:paraId="3C19C21E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4° paragrafo</w:t>
            </w:r>
          </w:p>
        </w:tc>
        <w:tc>
          <w:tcPr>
            <w:tcW w:w="7461" w:type="dxa"/>
          </w:tcPr>
          <w:p w14:paraId="4338D895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Una sfericità imperfetta</w:t>
            </w:r>
          </w:p>
        </w:tc>
      </w:tr>
      <w:tr w:rsidR="00E80D3E" w:rsidRPr="005F487D" w14:paraId="51A6E4A6" w14:textId="77777777" w:rsidTr="001D4DEB">
        <w:tc>
          <w:tcPr>
            <w:tcW w:w="1555" w:type="dxa"/>
          </w:tcPr>
          <w:p w14:paraId="167ECFBE" w14:textId="77777777" w:rsidR="00E80D3E" w:rsidRPr="001929D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5° paragrafo</w:t>
            </w:r>
          </w:p>
        </w:tc>
        <w:tc>
          <w:tcPr>
            <w:tcW w:w="7461" w:type="dxa"/>
          </w:tcPr>
          <w:p w14:paraId="19F4712F" w14:textId="77777777" w:rsidR="00E80D3E" w:rsidRPr="005F487D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Dimostrazione che la Terra non è esattamente un ellissoide di rotazione</w:t>
            </w:r>
          </w:p>
        </w:tc>
      </w:tr>
      <w:tr w:rsidR="00E80D3E" w:rsidRPr="005F487D" w14:paraId="6F895147" w14:textId="77777777" w:rsidTr="001D4DEB">
        <w:tc>
          <w:tcPr>
            <w:tcW w:w="1555" w:type="dxa"/>
          </w:tcPr>
          <w:p w14:paraId="0A9EA693" w14:textId="77777777" w:rsidR="00E80D3E" w:rsidRPr="001929DC" w:rsidRDefault="00E80D3E" w:rsidP="001D4DEB">
            <w:pPr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1929D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6° paragrafo</w:t>
            </w:r>
          </w:p>
        </w:tc>
        <w:tc>
          <w:tcPr>
            <w:tcW w:w="7461" w:type="dxa"/>
          </w:tcPr>
          <w:p w14:paraId="036908F5" w14:textId="77777777" w:rsidR="00E80D3E" w:rsidRPr="005F487D" w:rsidRDefault="00E80D3E" w:rsidP="001D4DEB">
            <w:pPr>
              <w:jc w:val="both"/>
              <w:rPr>
                <w:rFonts w:ascii="Calibri" w:hAnsi="Calibri"/>
                <w:b/>
                <w:snapToGrid w:val="0"/>
                <w:sz w:val="22"/>
                <w:szCs w:val="22"/>
                <w:u w:val="single"/>
              </w:rPr>
            </w:pPr>
            <w:r w:rsidRPr="005F487D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La Terra è un geoide</w:t>
            </w:r>
          </w:p>
        </w:tc>
      </w:tr>
    </w:tbl>
    <w:p w14:paraId="02000C6E" w14:textId="77777777" w:rsidR="00E80D3E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</w:p>
    <w:p w14:paraId="56E98059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8.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L’autore paragona la Terra a un’arancia, affermando che le irregolarit</w:t>
      </w:r>
      <w:r>
        <w:rPr>
          <w:rFonts w:ascii="Calibri" w:eastAsiaTheme="minorEastAsia" w:hAnsi="Calibri"/>
          <w:sz w:val="22"/>
          <w:szCs w:val="22"/>
          <w:lang w:eastAsia="zh-CN"/>
        </w:rPr>
        <w:t>à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della superficie alterano la forma geometrica della Terra molto meno di quanto la rugosità della buccia altera la forma complessiva, sferoidale, di un’arancia.</w:t>
      </w:r>
    </w:p>
    <w:p w14:paraId="56EDAC80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9. 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1</w:t>
      </w: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D879CC">
        <w:rPr>
          <w:rFonts w:ascii="Calibri" w:eastAsiaTheme="minorEastAsia" w:hAnsi="Calibri"/>
          <w:i/>
          <w:iCs/>
          <w:sz w:val="22"/>
          <w:szCs w:val="22"/>
          <w:lang w:eastAsia="zh-CN"/>
        </w:rPr>
        <w:t>orizzonte sensibile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: linea grossolanamente circolare, lungo la quale sembra che la volta celeste si congiunga con il suolo o con il mare – 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2</w:t>
      </w: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D879CC">
        <w:rPr>
          <w:rFonts w:ascii="Calibri" w:eastAsiaTheme="minorEastAsia" w:hAnsi="Calibri"/>
          <w:i/>
          <w:iCs/>
          <w:sz w:val="22"/>
          <w:szCs w:val="22"/>
          <w:lang w:eastAsia="zh-CN"/>
        </w:rPr>
        <w:t>meridiano terrestre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>: linea che unisce il Polo Nord con il Polo Sud.</w:t>
      </w:r>
    </w:p>
    <w:p w14:paraId="76FF96FE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10.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1d, 2b, 3c</w:t>
      </w:r>
    </w:p>
    <w:p w14:paraId="46508F13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11.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1c, 2d, 3a, 4e, 5b</w:t>
      </w:r>
    </w:p>
    <w:p w14:paraId="1B8DAF09" w14:textId="77777777" w:rsidR="00E80D3E" w:rsidRPr="00326C6D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12. </w:t>
      </w:r>
    </w:p>
    <w:tbl>
      <w:tblPr>
        <w:tblStyle w:val="Grigliatabel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3"/>
        <w:gridCol w:w="855"/>
        <w:gridCol w:w="1134"/>
        <w:gridCol w:w="1134"/>
        <w:gridCol w:w="1276"/>
        <w:gridCol w:w="1559"/>
        <w:gridCol w:w="1418"/>
        <w:gridCol w:w="1417"/>
      </w:tblGrid>
      <w:tr w:rsidR="00E80D3E" w:rsidRPr="00D879CC" w14:paraId="56D21D79" w14:textId="77777777" w:rsidTr="001D4DEB">
        <w:tc>
          <w:tcPr>
            <w:tcW w:w="1413" w:type="dxa"/>
          </w:tcPr>
          <w:p w14:paraId="2580ABA9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Nomi</w:t>
            </w:r>
          </w:p>
        </w:tc>
        <w:tc>
          <w:tcPr>
            <w:tcW w:w="855" w:type="dxa"/>
          </w:tcPr>
          <w:p w14:paraId="54463F7F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articoli</w:t>
            </w:r>
          </w:p>
        </w:tc>
        <w:tc>
          <w:tcPr>
            <w:tcW w:w="1134" w:type="dxa"/>
          </w:tcPr>
          <w:p w14:paraId="25FEC17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aggettivi</w:t>
            </w:r>
          </w:p>
        </w:tc>
        <w:tc>
          <w:tcPr>
            <w:tcW w:w="1134" w:type="dxa"/>
          </w:tcPr>
          <w:p w14:paraId="39506292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pronomi</w:t>
            </w:r>
          </w:p>
        </w:tc>
        <w:tc>
          <w:tcPr>
            <w:tcW w:w="1276" w:type="dxa"/>
          </w:tcPr>
          <w:p w14:paraId="5BE2564D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verbi</w:t>
            </w:r>
          </w:p>
        </w:tc>
        <w:tc>
          <w:tcPr>
            <w:tcW w:w="1559" w:type="dxa"/>
          </w:tcPr>
          <w:p w14:paraId="1515AAF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avverbi</w:t>
            </w:r>
          </w:p>
        </w:tc>
        <w:tc>
          <w:tcPr>
            <w:tcW w:w="1418" w:type="dxa"/>
          </w:tcPr>
          <w:p w14:paraId="7B4C2A74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congiunzioni</w:t>
            </w:r>
          </w:p>
        </w:tc>
        <w:tc>
          <w:tcPr>
            <w:tcW w:w="1417" w:type="dxa"/>
          </w:tcPr>
          <w:p w14:paraId="34059FD9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 w:rsidRPr="00D879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preposizioni</w:t>
            </w:r>
          </w:p>
        </w:tc>
      </w:tr>
      <w:tr w:rsidR="00E80D3E" w:rsidRPr="00D879CC" w14:paraId="7E062B09" w14:textId="77777777" w:rsidTr="001D4DEB">
        <w:tc>
          <w:tcPr>
            <w:tcW w:w="1413" w:type="dxa"/>
          </w:tcPr>
          <w:p w14:paraId="55C19C66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Omero</w:t>
            </w:r>
          </w:p>
        </w:tc>
        <w:tc>
          <w:tcPr>
            <w:tcW w:w="855" w:type="dxa"/>
          </w:tcPr>
          <w:p w14:paraId="7F99CF0A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1134" w:type="dxa"/>
          </w:tcPr>
          <w:p w14:paraId="4AA8B89B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antiche</w:t>
            </w:r>
          </w:p>
        </w:tc>
        <w:tc>
          <w:tcPr>
            <w:tcW w:w="1134" w:type="dxa"/>
          </w:tcPr>
          <w:p w14:paraId="45BEE37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essa</w:t>
            </w:r>
          </w:p>
        </w:tc>
        <w:tc>
          <w:tcPr>
            <w:tcW w:w="1276" w:type="dxa"/>
          </w:tcPr>
          <w:p w14:paraId="4728CE7A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abbracciare</w:t>
            </w:r>
          </w:p>
        </w:tc>
        <w:tc>
          <w:tcPr>
            <w:tcW w:w="1559" w:type="dxa"/>
          </w:tcPr>
          <w:p w14:paraId="03860966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come</w:t>
            </w:r>
          </w:p>
        </w:tc>
        <w:tc>
          <w:tcPr>
            <w:tcW w:w="1418" w:type="dxa"/>
          </w:tcPr>
          <w:p w14:paraId="482330D2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Che</w:t>
            </w:r>
          </w:p>
        </w:tc>
        <w:tc>
          <w:tcPr>
            <w:tcW w:w="1417" w:type="dxa"/>
          </w:tcPr>
          <w:p w14:paraId="0914CCEC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con</w:t>
            </w:r>
          </w:p>
        </w:tc>
      </w:tr>
      <w:tr w:rsidR="00E80D3E" w:rsidRPr="00D879CC" w14:paraId="10F39759" w14:textId="77777777" w:rsidTr="001D4DEB">
        <w:tc>
          <w:tcPr>
            <w:tcW w:w="1413" w:type="dxa"/>
          </w:tcPr>
          <w:p w14:paraId="4DADE60A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concezione</w:t>
            </w:r>
          </w:p>
        </w:tc>
        <w:tc>
          <w:tcPr>
            <w:tcW w:w="855" w:type="dxa"/>
          </w:tcPr>
          <w:p w14:paraId="235EEB8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l’</w:t>
            </w:r>
          </w:p>
        </w:tc>
        <w:tc>
          <w:tcPr>
            <w:tcW w:w="1134" w:type="dxa"/>
          </w:tcPr>
          <w:p w14:paraId="0B7E17A6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intera</w:t>
            </w:r>
          </w:p>
        </w:tc>
        <w:tc>
          <w:tcPr>
            <w:tcW w:w="1134" w:type="dxa"/>
          </w:tcPr>
          <w:p w14:paraId="7F5DF5F8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2B233E9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fosse</w:t>
            </w:r>
          </w:p>
        </w:tc>
        <w:tc>
          <w:tcPr>
            <w:tcW w:w="1559" w:type="dxa"/>
          </w:tcPr>
          <w:p w14:paraId="197E6590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poco</w:t>
            </w:r>
          </w:p>
        </w:tc>
        <w:tc>
          <w:tcPr>
            <w:tcW w:w="1418" w:type="dxa"/>
          </w:tcPr>
          <w:p w14:paraId="210AF8B7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Ed</w:t>
            </w:r>
          </w:p>
        </w:tc>
        <w:tc>
          <w:tcPr>
            <w:tcW w:w="1417" w:type="dxa"/>
          </w:tcPr>
          <w:p w14:paraId="3CF44F2F" w14:textId="77777777" w:rsidR="00E80D3E" w:rsidRPr="003356C5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della</w:t>
            </w:r>
          </w:p>
          <w:p w14:paraId="038E9B97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</w:tr>
      <w:tr w:rsidR="00E80D3E" w:rsidRPr="00D879CC" w14:paraId="212E6124" w14:textId="77777777" w:rsidTr="001D4DEB">
        <w:tc>
          <w:tcPr>
            <w:tcW w:w="1413" w:type="dxa"/>
          </w:tcPr>
          <w:p w14:paraId="6C01DA3E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secolo</w:t>
            </w:r>
          </w:p>
        </w:tc>
        <w:tc>
          <w:tcPr>
            <w:tcW w:w="855" w:type="dxa"/>
          </w:tcPr>
          <w:p w14:paraId="1E1E5D1C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U</w:t>
            </w: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n</w:t>
            </w:r>
          </w:p>
        </w:tc>
        <w:tc>
          <w:tcPr>
            <w:tcW w:w="1134" w:type="dxa"/>
          </w:tcPr>
          <w:p w14:paraId="0DE6B3E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questa</w:t>
            </w:r>
          </w:p>
        </w:tc>
        <w:tc>
          <w:tcPr>
            <w:tcW w:w="1134" w:type="dxa"/>
          </w:tcPr>
          <w:p w14:paraId="66901EEC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1FF2F8E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giunse</w:t>
            </w:r>
          </w:p>
        </w:tc>
        <w:tc>
          <w:tcPr>
            <w:tcW w:w="1559" w:type="dxa"/>
          </w:tcPr>
          <w:p w14:paraId="75D04308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superiormente</w:t>
            </w:r>
          </w:p>
        </w:tc>
        <w:tc>
          <w:tcPr>
            <w:tcW w:w="1418" w:type="dxa"/>
          </w:tcPr>
          <w:p w14:paraId="51A8920D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Quando</w:t>
            </w:r>
          </w:p>
        </w:tc>
        <w:tc>
          <w:tcPr>
            <w:tcW w:w="1417" w:type="dxa"/>
          </w:tcPr>
          <w:p w14:paraId="4AF7D836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ad</w:t>
            </w:r>
          </w:p>
        </w:tc>
      </w:tr>
      <w:tr w:rsidR="00E80D3E" w:rsidRPr="00D879CC" w14:paraId="47FB0325" w14:textId="77777777" w:rsidTr="001D4DEB">
        <w:tc>
          <w:tcPr>
            <w:tcW w:w="1413" w:type="dxa"/>
          </w:tcPr>
          <w:p w14:paraId="0B516D89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presupposti</w:t>
            </w:r>
          </w:p>
        </w:tc>
        <w:tc>
          <w:tcPr>
            <w:tcW w:w="855" w:type="dxa"/>
          </w:tcPr>
          <w:p w14:paraId="4DE3D0DF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37D0EC61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65091842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28F47FB5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46D41387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50FDF48A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399B2B73" w14:textId="77777777" w:rsidR="00E80D3E" w:rsidRPr="003356C5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su</w:t>
            </w:r>
          </w:p>
          <w:p w14:paraId="10DEA20A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</w:tr>
      <w:tr w:rsidR="00E80D3E" w:rsidRPr="00D879CC" w14:paraId="637F201E" w14:textId="77777777" w:rsidTr="001D4DEB">
        <w:tc>
          <w:tcPr>
            <w:tcW w:w="1413" w:type="dxa"/>
          </w:tcPr>
          <w:p w14:paraId="03B46E0C" w14:textId="77777777" w:rsidR="00E80D3E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sfericit</w:t>
            </w: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>à</w:t>
            </w:r>
          </w:p>
        </w:tc>
        <w:tc>
          <w:tcPr>
            <w:tcW w:w="855" w:type="dxa"/>
          </w:tcPr>
          <w:p w14:paraId="3BEE8067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7C0B22E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680627B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464EE55F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5BC23B70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456F0DEE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50763FEC" w14:textId="77777777" w:rsidR="00E80D3E" w:rsidRPr="00D879CC" w:rsidRDefault="00E80D3E" w:rsidP="001D4DEB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3356C5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al</w:t>
            </w:r>
          </w:p>
        </w:tc>
      </w:tr>
    </w:tbl>
    <w:p w14:paraId="1F000182" w14:textId="77777777" w:rsidR="00E80D3E" w:rsidRPr="003356C5" w:rsidRDefault="00E80D3E" w:rsidP="00E80D3E">
      <w:pPr>
        <w:autoSpaceDE w:val="0"/>
        <w:autoSpaceDN w:val="0"/>
        <w:adjustRightInd w:val="0"/>
        <w:jc w:val="both"/>
        <w:rPr>
          <w:rFonts w:ascii="Calibri" w:eastAsiaTheme="minorEastAsia" w:hAnsi="Calibri"/>
          <w:sz w:val="22"/>
          <w:szCs w:val="22"/>
          <w:lang w:eastAsia="zh-CN"/>
        </w:rPr>
      </w:pPr>
    </w:p>
    <w:p w14:paraId="5E468D33" w14:textId="77777777" w:rsidR="00E80D3E" w:rsidRDefault="00E80D3E" w:rsidP="00E80D3E">
      <w:pPr>
        <w:jc w:val="both"/>
        <w:rPr>
          <w:rFonts w:ascii="Calibri" w:eastAsiaTheme="minorEastAsia" w:hAnsi="Calibri"/>
          <w:b/>
          <w:bCs/>
          <w:sz w:val="22"/>
          <w:szCs w:val="22"/>
          <w:lang w:eastAsia="zh-CN"/>
        </w:rPr>
      </w:pP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 xml:space="preserve">13. </w:t>
      </w:r>
      <w:r>
        <w:rPr>
          <w:rFonts w:ascii="Calibri" w:eastAsiaTheme="minorEastAsia" w:hAnsi="Calibri"/>
          <w:sz w:val="22"/>
          <w:szCs w:val="22"/>
          <w:lang w:eastAsia="zh-CN"/>
        </w:rPr>
        <w:t>b</w:t>
      </w:r>
    </w:p>
    <w:p w14:paraId="53A3C77A" w14:textId="77777777" w:rsidR="00E80D3E" w:rsidRPr="003356C5" w:rsidRDefault="00E80D3E" w:rsidP="00E80D3E">
      <w:pPr>
        <w:jc w:val="both"/>
        <w:rPr>
          <w:rFonts w:ascii="Calibri" w:eastAsiaTheme="minorEastAsia" w:hAnsi="Calibri"/>
          <w:sz w:val="22"/>
          <w:szCs w:val="22"/>
          <w:lang w:eastAsia="zh-CN"/>
        </w:rPr>
      </w:pP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1</w:t>
      </w:r>
      <w:r>
        <w:rPr>
          <w:rFonts w:ascii="Calibri" w:eastAsiaTheme="minorEastAsia" w:hAnsi="Calibri"/>
          <w:b/>
          <w:bCs/>
          <w:sz w:val="22"/>
          <w:szCs w:val="22"/>
          <w:lang w:eastAsia="zh-CN"/>
        </w:rPr>
        <w:t>4</w:t>
      </w:r>
      <w:r w:rsidRPr="00326C6D">
        <w:rPr>
          <w:rFonts w:ascii="Calibri" w:eastAsiaTheme="minorEastAsia" w:hAnsi="Calibri"/>
          <w:b/>
          <w:bCs/>
          <w:sz w:val="22"/>
          <w:szCs w:val="22"/>
          <w:lang w:eastAsia="zh-CN"/>
        </w:rPr>
        <w:t>.</w:t>
      </w:r>
      <w:r w:rsidRPr="003356C5"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  <w:r w:rsidRPr="000D77C6">
        <w:rPr>
          <w:rFonts w:ascii="Calibri" w:eastAsiaTheme="minorEastAsia" w:hAnsi="Calibri"/>
          <w:i/>
          <w:iCs/>
          <w:sz w:val="22"/>
          <w:szCs w:val="22"/>
          <w:lang w:eastAsia="zh-CN"/>
        </w:rPr>
        <w:t>risposta aperta</w:t>
      </w:r>
    </w:p>
    <w:p w14:paraId="4D286704" w14:textId="77777777" w:rsidR="00E80D3E" w:rsidRPr="00E80D3E" w:rsidRDefault="00E80D3E">
      <w:pPr>
        <w:rPr>
          <w:rFonts w:ascii="Calibri" w:eastAsiaTheme="minorEastAsia" w:hAnsi="Calibri"/>
          <w:sz w:val="20"/>
          <w:szCs w:val="20"/>
          <w:lang w:eastAsia="zh-CN"/>
        </w:rPr>
      </w:pPr>
    </w:p>
    <w:sectPr w:rsidR="00E80D3E" w:rsidRPr="00E80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52AF" w14:textId="77777777" w:rsidR="00E80D3E" w:rsidRDefault="00E80D3E" w:rsidP="00E80D3E">
      <w:r>
        <w:separator/>
      </w:r>
    </w:p>
  </w:endnote>
  <w:endnote w:type="continuationSeparator" w:id="0">
    <w:p w14:paraId="512EBCEC" w14:textId="77777777" w:rsidR="00E80D3E" w:rsidRDefault="00E80D3E" w:rsidP="00E8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neSans-Semibold">
    <w:altName w:val="Stone Sans Semibold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366F2" w14:textId="77777777" w:rsidR="00E80D3E" w:rsidRDefault="00E80D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BA21" w14:textId="77777777" w:rsidR="00E80D3E" w:rsidRDefault="00E80D3E" w:rsidP="00E80D3E">
    <w:pPr>
      <w:pStyle w:val="Pidipagina"/>
      <w:ind w:right="360"/>
    </w:pPr>
    <w:r w:rsidRPr="00253D0B">
      <w:rPr>
        <w:lang w:val="en-US"/>
      </w:rPr>
      <w:t>© Pearson Italia S.p.A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F3DAF" w14:textId="77777777" w:rsidR="00E80D3E" w:rsidRDefault="00E80D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91A78" w14:textId="77777777" w:rsidR="00E80D3E" w:rsidRDefault="00E80D3E" w:rsidP="00E80D3E">
      <w:r>
        <w:separator/>
      </w:r>
    </w:p>
  </w:footnote>
  <w:footnote w:type="continuationSeparator" w:id="0">
    <w:p w14:paraId="38FD145A" w14:textId="77777777" w:rsidR="00E80D3E" w:rsidRDefault="00E80D3E" w:rsidP="00E8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FF14" w14:textId="77777777" w:rsidR="00E80D3E" w:rsidRDefault="00E80D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94DF3" w14:textId="77777777" w:rsidR="00E80D3E" w:rsidRDefault="00E80D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8D4B5" w14:textId="77777777" w:rsidR="00E80D3E" w:rsidRDefault="00E80D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revisionView w:comments="0" w:insDel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3E"/>
    <w:rsid w:val="00E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130B1"/>
  <w15:chartTrackingRefBased/>
  <w15:docId w15:val="{CB3FC3E2-BA02-FD43-B30F-B73C4504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D3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0D3E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80D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D3E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0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D3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Redazione Pearson</cp:lastModifiedBy>
  <cp:revision>1</cp:revision>
  <dcterms:created xsi:type="dcterms:W3CDTF">2020-09-03T21:13:00Z</dcterms:created>
  <dcterms:modified xsi:type="dcterms:W3CDTF">2020-09-03T21:16:00Z</dcterms:modified>
</cp:coreProperties>
</file>