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A99D" w14:textId="145F7A69" w:rsidR="00055694" w:rsidRPr="00703E5A" w:rsidRDefault="00C47E4C" w:rsidP="00703E5A">
      <w:pPr>
        <w:spacing w:after="0"/>
        <w:jc w:val="both"/>
        <w:rPr>
          <w:rFonts w:ascii="Times New Roman" w:hAnsi="Times New Roman" w:cs="DINPro-Regular"/>
          <w:b/>
          <w:bCs/>
          <w:sz w:val="28"/>
          <w:szCs w:val="28"/>
          <w:u w:val="single"/>
        </w:rPr>
      </w:pPr>
      <w:r w:rsidRPr="00703E5A">
        <w:rPr>
          <w:rFonts w:ascii="Times New Roman" w:hAnsi="Times New Roman"/>
          <w:b/>
          <w:bCs/>
          <w:sz w:val="28"/>
          <w:szCs w:val="28"/>
          <w:u w:val="single"/>
        </w:rPr>
        <w:t>Soluzioni Test d’ingresso Lingua e cultura greca</w:t>
      </w:r>
      <w:r w:rsidR="00055694" w:rsidRPr="00703E5A">
        <w:rPr>
          <w:rFonts w:ascii="Times New Roman" w:hAnsi="Times New Roman" w:cs="DINPro-Regular"/>
          <w:b/>
          <w:bCs/>
          <w:sz w:val="28"/>
          <w:szCs w:val="28"/>
          <w:u w:val="single"/>
        </w:rPr>
        <w:t xml:space="preserve"> - Quarto anno</w:t>
      </w:r>
    </w:p>
    <w:p w14:paraId="2DE7BBED" w14:textId="77777777" w:rsidR="00703E5A" w:rsidRPr="00703E5A" w:rsidRDefault="00703E5A" w:rsidP="00703E5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E0C667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1. </w:t>
      </w:r>
      <w:r w:rsidRPr="00C47E4C">
        <w:rPr>
          <w:rFonts w:ascii="Times New Roman" w:hAnsi="Times New Roman" w:cs="DINPro-Regular"/>
          <w:sz w:val="24"/>
          <w:szCs w:val="24"/>
        </w:rPr>
        <w:t>Cnemo, Brasida e gli altri strateghi dei Peloponnesiaci, volendo fare velocemente la battaglia navale prima che arrivassero in aiuto soccorsi (lett. “qualcosa”) anche dagli Ateniesi, in primo luogo convocarono i soldati e, vedendo che la maggior parte di loro era spaventata a causa della precedente sconfitta e non era ben disposta, la incoraggiarono e dissero le seguenti parole.</w:t>
      </w:r>
    </w:p>
    <w:p w14:paraId="0F282188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2. </w:t>
      </w:r>
      <w:r w:rsidRPr="00C47E4C">
        <w:rPr>
          <w:rFonts w:ascii="OdysseaU" w:hAnsi="OdysseaU" w:cs="DINPro-Bold"/>
          <w:sz w:val="24"/>
          <w:szCs w:val="24"/>
        </w:rPr>
        <w:t>ποιῆσαι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ποιέω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infinito, attiva. • </w:t>
      </w:r>
      <w:r w:rsidRPr="00C47E4C">
        <w:rPr>
          <w:rFonts w:ascii="OdysseaU" w:hAnsi="OdysseaU" w:cs="DINPro-Bold"/>
          <w:sz w:val="24"/>
          <w:szCs w:val="24"/>
        </w:rPr>
        <w:t>ξυνεκάλεσαν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ξυγκαλέω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 xml:space="preserve">a </w:t>
      </w:r>
      <w:r w:rsidRPr="00C47E4C">
        <w:rPr>
          <w:rFonts w:ascii="Times New Roman" w:hAnsi="Times New Roman" w:cs="DINPro-Regular"/>
          <w:sz w:val="24"/>
          <w:szCs w:val="24"/>
        </w:rPr>
        <w:t xml:space="preserve">pers. plur., attiva. • </w:t>
      </w:r>
      <w:r w:rsidRPr="00C47E4C">
        <w:rPr>
          <w:rFonts w:ascii="OdysseaU" w:hAnsi="OdysseaU" w:cs="DINPro-Bold"/>
          <w:sz w:val="24"/>
          <w:szCs w:val="24"/>
        </w:rPr>
        <w:t>παρεκελεύσαντο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παρακελεύω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plur., media. • </w:t>
      </w:r>
      <w:r w:rsidRPr="00C47E4C">
        <w:rPr>
          <w:rFonts w:ascii="OdysseaU" w:hAnsi="OdysseaU" w:cs="DINPro-Bold"/>
          <w:sz w:val="24"/>
          <w:szCs w:val="24"/>
        </w:rPr>
        <w:t>ἐκφοβῆσαι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ἐκφοβέω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infinito, attiva. • </w:t>
      </w:r>
      <w:r w:rsidRPr="00C47E4C">
        <w:rPr>
          <w:rFonts w:ascii="OdysseaU" w:hAnsi="OdysseaU" w:cs="DINPro-Bold"/>
          <w:sz w:val="24"/>
          <w:szCs w:val="24"/>
        </w:rPr>
        <w:t>ἐγένετο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γίγνομαι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sing., media. • </w:t>
      </w:r>
      <w:r w:rsidRPr="00C47E4C">
        <w:rPr>
          <w:rFonts w:ascii="OdysseaU" w:hAnsi="OdysseaU" w:cs="DINPro-Bold"/>
          <w:sz w:val="24"/>
          <w:szCs w:val="24"/>
        </w:rPr>
        <w:t>ἴστε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οἶδα</w:t>
      </w:r>
      <w:r w:rsidRPr="00C47E4C">
        <w:rPr>
          <w:rFonts w:ascii="Times New Roman" w:hAnsi="Times New Roman" w:cs="DINPro-Regular"/>
          <w:sz w:val="24"/>
          <w:szCs w:val="24"/>
        </w:rPr>
        <w:t xml:space="preserve">, perfetto, indicativo, </w:t>
      </w:r>
      <w:r w:rsidRPr="00C47E4C">
        <w:rPr>
          <w:rFonts w:ascii="Times New Roman" w:hAnsi="Times New Roman" w:cs="DINPro-Bold"/>
          <w:sz w:val="24"/>
          <w:szCs w:val="24"/>
        </w:rPr>
        <w:t>2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 xml:space="preserve">a </w:t>
      </w:r>
      <w:r w:rsidRPr="00C47E4C">
        <w:rPr>
          <w:rFonts w:ascii="Times New Roman" w:hAnsi="Times New Roman" w:cs="DINPro-Regular"/>
          <w:sz w:val="24"/>
          <w:szCs w:val="24"/>
        </w:rPr>
        <w:t xml:space="preserve">pers. plur., attiva. • </w:t>
      </w:r>
      <w:r w:rsidRPr="00C47E4C">
        <w:rPr>
          <w:rFonts w:ascii="OdysseaU" w:hAnsi="OdysseaU" w:cs="DINPro-Bold"/>
          <w:sz w:val="24"/>
          <w:szCs w:val="24"/>
        </w:rPr>
        <w:t>ἐπλέομεν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πλέω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imperfetto, indicativo, </w:t>
      </w:r>
      <w:r w:rsidRPr="00C47E4C">
        <w:rPr>
          <w:rFonts w:ascii="Times New Roman" w:hAnsi="Times New Roman" w:cs="DINPro-Bold"/>
          <w:sz w:val="24"/>
          <w:szCs w:val="24"/>
        </w:rPr>
        <w:t>1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plur., media. • </w:t>
      </w:r>
      <w:r w:rsidRPr="00C47E4C">
        <w:rPr>
          <w:rFonts w:ascii="OdysseaU" w:hAnsi="OdysseaU" w:cs="DINPro-Bold"/>
          <w:sz w:val="24"/>
          <w:szCs w:val="24"/>
        </w:rPr>
        <w:t>ξυνέβη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ξυμβαίνω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sing., attiva. • </w:t>
      </w:r>
      <w:r w:rsidRPr="00C47E4C">
        <w:rPr>
          <w:rFonts w:ascii="OdysseaU" w:hAnsi="OdysseaU" w:cs="DINPro-Bold"/>
          <w:sz w:val="24"/>
          <w:szCs w:val="24"/>
        </w:rPr>
        <w:t>ἔσφηλεν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σφάλλω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sing., attiva. • </w:t>
      </w:r>
      <w:r w:rsidRPr="00C47E4C">
        <w:rPr>
          <w:rFonts w:ascii="OdysseaU" w:hAnsi="OdysseaU" w:cs="DINPro-Bold"/>
          <w:sz w:val="24"/>
          <w:szCs w:val="24"/>
        </w:rPr>
        <w:t>νικηθέν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νικάω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participio, acc. n. sing., passiva. </w:t>
      </w:r>
    </w:p>
    <w:p w14:paraId="119B1628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3. </w:t>
      </w:r>
      <w:r w:rsidRPr="00C47E4C">
        <w:rPr>
          <w:rFonts w:ascii="Times New Roman" w:hAnsi="Times New Roman" w:cs="DINPro-Regular"/>
          <w:bCs/>
          <w:sz w:val="24"/>
          <w:szCs w:val="24"/>
        </w:rPr>
        <w:t>1. Participio congiunto (valore causale). • 2. Participio congiunto (valore causale). • 3. Participio predicativo. • 4. Participio attributivo. • 5. Participio sostantivato. • 6. Participio assoluto (genitiv</w:t>
      </w:r>
      <w:r w:rsidRPr="00C47E4C">
        <w:rPr>
          <w:rFonts w:ascii="Times New Roman" w:hAnsi="Times New Roman" w:cs="DINPro-Regular"/>
          <w:sz w:val="24"/>
          <w:szCs w:val="24"/>
        </w:rPr>
        <w:t>o assoluto).</w:t>
      </w:r>
    </w:p>
    <w:p w14:paraId="05ADB568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b/>
          <w:bCs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4. </w:t>
      </w:r>
      <w:r w:rsidRPr="00C47E4C">
        <w:rPr>
          <w:rFonts w:ascii="Times New Roman" w:hAnsi="Times New Roman" w:cs="DINPro-Regular"/>
          <w:sz w:val="24"/>
          <w:szCs w:val="24"/>
        </w:rPr>
        <w:t xml:space="preserve">1. Una proposizione temporale implicita. • 2. Un complemento di causa. • 3. È un infinito sostantivato (complemento oggetto). • 4. Si tratta di un complemento predicativo dell’oggetto. • 5. Una proposizione infinitiva. • 6. Si tratta di una congiunzione coordinante conclusiva. • 7. Concorda con </w:t>
      </w:r>
      <w:r w:rsidRPr="00C47E4C">
        <w:rPr>
          <w:rFonts w:ascii="OdysseaU" w:hAnsi="OdysseaU" w:cs="DINPro-Bold"/>
          <w:sz w:val="24"/>
          <w:szCs w:val="24"/>
        </w:rPr>
        <w:t>τό ... νικηθέν</w:t>
      </w:r>
      <w:r w:rsidRPr="00C47E4C">
        <w:rPr>
          <w:rFonts w:ascii="Times New Roman" w:hAnsi="Times New Roman" w:cs="DINPro-Regular"/>
          <w:sz w:val="24"/>
          <w:szCs w:val="24"/>
        </w:rPr>
        <w:t xml:space="preserve">. • 8. Si trova in posizione attributiva e corrisponde al latino </w:t>
      </w:r>
      <w:r w:rsidRPr="00C47E4C">
        <w:rPr>
          <w:rFonts w:ascii="Times New Roman" w:hAnsi="Times New Roman" w:cs="DINPro-Regular"/>
          <w:i/>
          <w:iCs/>
          <w:sz w:val="24"/>
          <w:szCs w:val="24"/>
        </w:rPr>
        <w:t>eosdem</w:t>
      </w:r>
      <w:r w:rsidRPr="00C47E4C">
        <w:rPr>
          <w:rFonts w:ascii="Times New Roman" w:hAnsi="Times New Roman" w:cs="DINPro-Regular"/>
          <w:sz w:val="24"/>
          <w:szCs w:val="24"/>
        </w:rPr>
        <w:t xml:space="preserve">. • 9. Si tratta di un avverbio. • 10. È riferito a </w:t>
      </w:r>
      <w:r w:rsidRPr="00C47E4C">
        <w:rPr>
          <w:rFonts w:ascii="OdysseaU" w:hAnsi="OdysseaU" w:cs="DINPro-Bold"/>
          <w:sz w:val="24"/>
          <w:szCs w:val="24"/>
        </w:rPr>
        <w:t>γενέσθαι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 ed esprime valore potenziale.</w:t>
      </w: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 </w:t>
      </w:r>
    </w:p>
    <w:p w14:paraId="74150516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5. </w:t>
      </w:r>
      <w:r w:rsidRPr="00C47E4C">
        <w:rPr>
          <w:rFonts w:ascii="Times New Roman" w:hAnsi="Times New Roman" w:cs="DINPro-Regular"/>
          <w:sz w:val="24"/>
          <w:szCs w:val="24"/>
        </w:rPr>
        <w:t>1. Battaglia navale. • 2. Venire in aiuto. • 3. Convocare. • 4. Inesperienza. • 5. Sopraggiungere. • 6. Replica, risposta. • 7. Essere presente. • 8. Accampare, addurre come pretesto.</w:t>
      </w:r>
    </w:p>
    <w:p w14:paraId="65710092" w14:textId="77777777" w:rsidR="009B7769" w:rsidRDefault="00055694" w:rsidP="00E907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6. </w:t>
      </w:r>
      <w:r w:rsidRPr="00C47E4C">
        <w:rPr>
          <w:rFonts w:ascii="Times New Roman" w:hAnsi="Times New Roman" w:cs="DINPro-Regular"/>
          <w:sz w:val="24"/>
          <w:szCs w:val="24"/>
        </w:rPr>
        <w:t>1. Perché si erano preparati a uno scontro terrestre (</w:t>
      </w:r>
      <w:r w:rsidRPr="00C47E4C">
        <w:rPr>
          <w:rFonts w:ascii="OdysseaU" w:hAnsi="OdysseaU" w:cs="DINPro-Bold"/>
          <w:sz w:val="24"/>
          <w:szCs w:val="24"/>
        </w:rPr>
        <w:t>ἐπὶ στρατείαν</w:t>
      </w:r>
      <w:r w:rsidRPr="00C47E4C">
        <w:rPr>
          <w:rFonts w:ascii="Times New Roman" w:hAnsi="Times New Roman" w:cs="DINPro-Regular"/>
          <w:sz w:val="24"/>
          <w:szCs w:val="24"/>
        </w:rPr>
        <w:t>) e non a una battaglia navale (</w:t>
      </w:r>
      <w:r w:rsidRPr="00C47E4C">
        <w:rPr>
          <w:rFonts w:ascii="OdysseaU" w:hAnsi="OdysseaU" w:cs="DINPro-Bold"/>
          <w:sz w:val="24"/>
          <w:szCs w:val="24"/>
        </w:rPr>
        <w:t>οὐχὶ ἐς ναυμαχίαν</w:t>
      </w:r>
      <w:r w:rsidRPr="00C47E4C">
        <w:rPr>
          <w:rFonts w:ascii="Times New Roman" w:hAnsi="Times New Roman" w:cs="DINPro-Regular"/>
          <w:sz w:val="24"/>
          <w:szCs w:val="24"/>
        </w:rPr>
        <w:t xml:space="preserve">). • 2. Hanno giocato un ruolo importante la sorte avversa e l’inesperienza. • 3. No; infatti nel testo si dice </w:t>
      </w:r>
      <w:r w:rsidRPr="00C47E4C">
        <w:rPr>
          <w:rFonts w:ascii="OdysseaU" w:hAnsi="OdysseaU" w:cs="DINPro-Bold"/>
          <w:sz w:val="24"/>
          <w:szCs w:val="24"/>
        </w:rPr>
        <w:t>οὐ κατὰ τὴν ἡμετέραν κακίαν τὸ ἡσσᾶσθαι προσεγένετο</w:t>
      </w:r>
      <w:r w:rsidRPr="00C47E4C">
        <w:rPr>
          <w:rFonts w:ascii="Times New Roman" w:hAnsi="Times New Roman" w:cs="DINPro-Regular"/>
          <w:sz w:val="24"/>
          <w:szCs w:val="24"/>
        </w:rPr>
        <w:t>. • 4. Bisogna conservare sempre la costanza di pensiero e il coraggio.</w:t>
      </w:r>
    </w:p>
    <w:p w14:paraId="3B2FCA50" w14:textId="77777777" w:rsidR="00E90797" w:rsidRPr="00E90797" w:rsidRDefault="00E90797" w:rsidP="00E907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</w:p>
    <w:sectPr w:rsidR="00E90797" w:rsidRPr="00E90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6F992" w14:textId="77777777" w:rsidR="00CA3D7E" w:rsidRDefault="00CA3D7E" w:rsidP="00055694">
      <w:pPr>
        <w:spacing w:after="0" w:line="240" w:lineRule="auto"/>
      </w:pPr>
      <w:r>
        <w:separator/>
      </w:r>
    </w:p>
  </w:endnote>
  <w:endnote w:type="continuationSeparator" w:id="0">
    <w:p w14:paraId="6EB13B6A" w14:textId="77777777" w:rsidR="00CA3D7E" w:rsidRDefault="00CA3D7E" w:rsidP="000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OdysseaU">
    <w:altName w:val="Calibri"/>
    <w:panose1 w:val="020B0604020202020204"/>
    <w:charset w:val="00"/>
    <w:family w:val="auto"/>
    <w:pitch w:val="variable"/>
    <w:sig w:usb0="C00000EF" w:usb1="1000006B" w:usb2="00000000" w:usb3="00000000" w:csb0="00000009" w:csb1="00000000"/>
  </w:font>
  <w:font w:name="DINPro-Bold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650381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5B5E04" w14:textId="77777777" w:rsidR="00055694" w:rsidRDefault="00055694" w:rsidP="008878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532B9E2" w14:textId="77777777" w:rsidR="00055694" w:rsidRDefault="00055694" w:rsidP="000556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0610C" w14:textId="77777777" w:rsidR="002426E2" w:rsidRPr="00160A36" w:rsidRDefault="002426E2" w:rsidP="002426E2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>© Pearson Italia S.p.A.</w:t>
    </w:r>
  </w:p>
  <w:p w14:paraId="2BF6EE0D" w14:textId="77777777" w:rsidR="00055694" w:rsidRDefault="00055694" w:rsidP="0005569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71" w14:textId="77777777" w:rsidR="000E19D5" w:rsidRDefault="000E19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737D9" w14:textId="77777777" w:rsidR="00CA3D7E" w:rsidRDefault="00CA3D7E" w:rsidP="00055694">
      <w:pPr>
        <w:spacing w:after="0" w:line="240" w:lineRule="auto"/>
      </w:pPr>
      <w:r>
        <w:separator/>
      </w:r>
    </w:p>
  </w:footnote>
  <w:footnote w:type="continuationSeparator" w:id="0">
    <w:p w14:paraId="04C6527B" w14:textId="77777777" w:rsidR="00CA3D7E" w:rsidRDefault="00CA3D7E" w:rsidP="0005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F7AC" w14:textId="77777777" w:rsidR="000E19D5" w:rsidRDefault="000E19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B76C" w14:textId="77777777" w:rsidR="000E19D5" w:rsidRDefault="000E19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F043" w14:textId="77777777" w:rsidR="000E19D5" w:rsidRDefault="000E19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69"/>
    <w:rsid w:val="00055694"/>
    <w:rsid w:val="000802EB"/>
    <w:rsid w:val="000A5CFB"/>
    <w:rsid w:val="000E19D5"/>
    <w:rsid w:val="002426E2"/>
    <w:rsid w:val="00273D99"/>
    <w:rsid w:val="00410386"/>
    <w:rsid w:val="004B6699"/>
    <w:rsid w:val="005B1B0F"/>
    <w:rsid w:val="00676DE2"/>
    <w:rsid w:val="00703E5A"/>
    <w:rsid w:val="007260EE"/>
    <w:rsid w:val="007E2C1D"/>
    <w:rsid w:val="00847CCE"/>
    <w:rsid w:val="008B36FD"/>
    <w:rsid w:val="009B7769"/>
    <w:rsid w:val="009E1095"/>
    <w:rsid w:val="00C47E4C"/>
    <w:rsid w:val="00CA3D7E"/>
    <w:rsid w:val="00D758C1"/>
    <w:rsid w:val="00DD3AF1"/>
    <w:rsid w:val="00E37578"/>
    <w:rsid w:val="00E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A9A"/>
  <w15:chartTrackingRefBased/>
  <w15:docId w15:val="{603B1C71-28CD-2241-99C5-62BCBC8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7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55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694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055694"/>
  </w:style>
  <w:style w:type="paragraph" w:styleId="Intestazione">
    <w:name w:val="header"/>
    <w:basedOn w:val="Normale"/>
    <w:link w:val="IntestazioneCarattere"/>
    <w:uiPriority w:val="99"/>
    <w:unhideWhenUsed/>
    <w:rsid w:val="00410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3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6</cp:revision>
  <dcterms:created xsi:type="dcterms:W3CDTF">2020-09-03T12:36:00Z</dcterms:created>
  <dcterms:modified xsi:type="dcterms:W3CDTF">2020-09-04T08:54:00Z</dcterms:modified>
</cp:coreProperties>
</file>