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FCD" w:rsidRDefault="00F75FCD" w:rsidP="00F75FCD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</w:rPr>
      </w:pPr>
      <w:r w:rsidRPr="003764AD">
        <w:rPr>
          <w:rFonts w:ascii="Cambria" w:eastAsia="OfficinaSerif-Bold" w:hAnsi="Cambria" w:cs="OfficinaSerif-Bold"/>
          <w:b/>
          <w:bCs/>
          <w:sz w:val="28"/>
        </w:rPr>
        <w:t xml:space="preserve">GEOGRAFIA - PROPOSTE DI PROGRAMMAZIONE </w:t>
      </w:r>
      <w:r w:rsidRPr="00406131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 xml:space="preserve">PER </w:t>
      </w:r>
      <w:r w:rsidR="00DC33F6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>LA DDI</w:t>
      </w:r>
      <w:r w:rsidRPr="00406131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 xml:space="preserve"> </w:t>
      </w:r>
    </w:p>
    <w:p w:rsidR="00A437AF" w:rsidRPr="00993DA7" w:rsidRDefault="00A437AF" w:rsidP="00A437AF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</w:rPr>
      </w:pPr>
      <w:r>
        <w:rPr>
          <w:rFonts w:ascii="Cambria" w:eastAsia="OfficinaSerif-Bold" w:hAnsi="Cambria" w:cs="OfficinaSerif-Bold"/>
          <w:b/>
          <w:bCs/>
          <w:sz w:val="28"/>
        </w:rPr>
        <w:t>SECONDO</w:t>
      </w:r>
      <w:r w:rsidRPr="003764AD">
        <w:rPr>
          <w:rFonts w:ascii="Cambria" w:eastAsia="OfficinaSerif-Bold" w:hAnsi="Cambria" w:cs="OfficinaSerif-Bold"/>
          <w:b/>
          <w:bCs/>
          <w:sz w:val="28"/>
        </w:rPr>
        <w:t xml:space="preserve"> ANNO</w:t>
      </w:r>
    </w:p>
    <w:p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  <w:szCs w:val="28"/>
        </w:rPr>
      </w:pPr>
    </w:p>
    <w:p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  <w:szCs w:val="28"/>
        </w:rPr>
      </w:pPr>
    </w:p>
    <w:p w:rsidR="00074A95" w:rsidRPr="00A437AF" w:rsidRDefault="00A437AF" w:rsidP="00651039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9E7C79">
        <w:rPr>
          <w:rFonts w:ascii="Cambria" w:eastAsia="OfficinaSerif-Bold" w:hAnsi="Cambria" w:cs="OfficinaSerif-Bold"/>
          <w:b/>
          <w:bCs/>
          <w:sz w:val="28"/>
        </w:rPr>
        <w:t>La globalizzazione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="00074A95" w:rsidRPr="00A437AF">
        <w:rPr>
          <w:rFonts w:ascii="Cambria" w:hAnsi="Cambria"/>
        </w:rPr>
        <w:t>TEMPO</w:t>
      </w:r>
      <w:r w:rsidR="00074A95" w:rsidRPr="00651039">
        <w:rPr>
          <w:rFonts w:ascii="Cambria" w:hAnsi="Cambria"/>
        </w:rPr>
        <w:t>:</w:t>
      </w:r>
      <w:r w:rsidR="00074A95" w:rsidRPr="00651039">
        <w:rPr>
          <w:rFonts w:ascii="Cambria" w:hAnsi="Cambria"/>
          <w:caps/>
          <w:spacing w:val="-2"/>
        </w:rPr>
        <w:t xml:space="preserve"> 6/8</w:t>
      </w:r>
      <w:r w:rsidR="00074A95" w:rsidRPr="00651039">
        <w:rPr>
          <w:rFonts w:ascii="Cambria" w:hAnsi="Cambria"/>
          <w:spacing w:val="-2"/>
        </w:rPr>
        <w:t xml:space="preserve"> ore (settembre-novembre)</w:t>
      </w:r>
    </w:p>
    <w:p w:rsidR="00074A95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p w:rsidR="00651039" w:rsidRPr="00A437AF" w:rsidRDefault="00651039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:rsidTr="00A50A1D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:rsidR="00A50A1D" w:rsidRPr="00993DA7" w:rsidRDefault="00D03E11" w:rsidP="00D03E11">
            <w:pPr>
              <w:autoSpaceDE w:val="0"/>
              <w:ind w:left="17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7F5C0C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suppressAutoHyphens/>
              <w:autoSpaceDE w:val="0"/>
              <w:textAlignment w:val="center"/>
              <w:rPr>
                <w:rFonts w:ascii="Cambria" w:hAnsi="Cambria"/>
                <w:b/>
                <w:cap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7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per ulteriori materiali digitali, scopri </w:t>
            </w:r>
            <w: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la piattaforma </w:t>
            </w:r>
            <w:r w:rsidRPr="00C36474">
              <w:rPr>
                <w:rFonts w:ascii="Cambria" w:hAnsi="Cambria"/>
                <w:bCs/>
                <w:i/>
                <w:iCs/>
                <w:color w:val="000000"/>
                <w:kern w:val="24"/>
                <w:sz w:val="20"/>
                <w:szCs w:val="20"/>
              </w:rPr>
              <w:t>Smart Cl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ass </w:t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8" w:tgtFrame="_blank" w:tooltip="https://www.pearson.it/smartclass" w:history="1">
              <w:r w:rsidRPr="00C36474">
                <w:rPr>
                  <w:rFonts w:ascii="Cambria" w:hAnsi="Cambria"/>
                  <w:bCs/>
                  <w:color w:val="00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50A1D" w:rsidRPr="00993DA7" w:rsidRDefault="00A50A1D" w:rsidP="00A50A1D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e sull’aggiornamento didattico, puoi consultare il calendario dei prossimi webinar Pearson (</w:t>
            </w:r>
            <w:hyperlink r:id="rId9" w:tgtFrame="_blank" w:tooltip="https://www.pearson.it/webinar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Pearson Education </w:t>
            </w:r>
            <w:r w:rsidRPr="00A50A1D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Library</w:t>
            </w:r>
            <w:r w:rsidRPr="00A50A1D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10" w:tgtFrame="_blank" w:tooltip="https://www.pearson.it/pel" w:history="1">
              <w:r w:rsidRPr="00A50A1D">
                <w:rPr>
                  <w:rStyle w:val="Collegamentoipertestuale"/>
                  <w:rFonts w:ascii="Cambria" w:hAnsi="Cambria" w:cs="Segoe UI"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437AF" w:rsidRPr="00A437AF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il confronto fra aree geografiche e culturali.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 xml:space="preserve">Imparare a imparare, Progettare, Comunicare, Collaborare e partecipare, Agire in modo autonomo e responsabile, Risolvere problemi, Individuare collegamenti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>e relazioni, Acquisire e interpretare l’informazione</w:t>
            </w:r>
          </w:p>
          <w:p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CHIAVE EUROPEE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Definire i concetti di “globalizzazione economica”, “economia di mercato”, “centro e periferia geoeconomica”, “multinazionale”, “delocalizzazione”</w:t>
            </w:r>
          </w:p>
          <w:p w:rsidR="00A437AF" w:rsidRPr="00E96344" w:rsidRDefault="00F523F5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Comprendere la distinzione fra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le aree economiche del mondo in base al grado di coinvolgimento nel processo di globalizzazione</w:t>
            </w:r>
          </w:p>
          <w:p w:rsidR="00A437AF" w:rsidRPr="00A437AF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Problematizzare i rischi e le opportunità 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della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globalizzazione</w:t>
            </w:r>
          </w:p>
          <w:p w:rsidR="00A437AF" w:rsidRPr="00A437AF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Definire i concetti di “divario socioeconomico”,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“Primo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Secondo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Terzo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Quarto mondo”,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“Nord/Sud del mondo”, 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“colonizzazione”, “decolonizzazione”, “povertà assoluta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/relativa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”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, “malnutrizione”, “sottoalimentazione”</w:t>
            </w:r>
          </w:p>
          <w:p w:rsidR="00F523F5" w:rsidRPr="00E96344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i principali indicatori socioeconomici e demografici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e c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omprendere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la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ripartizione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degli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stati secondo il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Pil e l’Isu</w:t>
            </w:r>
          </w:p>
          <w:p w:rsidR="00A437AF" w:rsidRP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l’origine storica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dei divari di sviluppo e le cause dell’attuale persistenza dei divari socioeconomici</w:t>
            </w:r>
          </w:p>
          <w:p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Definire i concetti di “omologazione culturale”, </w:t>
            </w:r>
            <w:r w:rsidRPr="00F523F5">
              <w:rPr>
                <w:rFonts w:ascii="Cambria" w:eastAsia="DINPro-Medium" w:hAnsi="Cambria" w:cs="DINPro-Medium"/>
                <w:bCs/>
                <w:i/>
                <w:iCs/>
                <w:color w:val="000000"/>
                <w:spacing w:val="-2"/>
                <w:w w:val="95"/>
                <w:kern w:val="2"/>
              </w:rPr>
              <w:t>corporation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, </w:t>
            </w:r>
            <w:r w:rsidRPr="00F523F5">
              <w:rPr>
                <w:rFonts w:ascii="Cambria" w:eastAsia="DINPro-Medium" w:hAnsi="Cambria" w:cs="DINPro-Medium"/>
                <w:bCs/>
                <w:i/>
                <w:iCs/>
                <w:color w:val="000000"/>
                <w:spacing w:val="-2"/>
                <w:w w:val="95"/>
                <w:kern w:val="2"/>
              </w:rPr>
              <w:t>digital divide</w:t>
            </w:r>
          </w:p>
          <w:p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ruolo della cultura e dell’informazione occidentali nel mondo e i mezzi di cui si avvalgono</w:t>
            </w:r>
          </w:p>
          <w:p w:rsidR="00651039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Comprendere il ruolo di internet e dei social network nella diffusione dell’informazione</w:t>
            </w:r>
          </w:p>
          <w:p w:rsidR="00F523F5" w:rsidRPr="00651039" w:rsidRDefault="00F523F5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Definire i concetti di “terrorismo”, “fondamentalismo religioso”, “nuove guerre”, “primavera araba”</w:t>
            </w:r>
          </w:p>
          <w:p w:rsidR="00A437AF" w:rsidRP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le caratteristiche dell’equilibrio geopolitico durante la guerra fredda e </w:t>
            </w:r>
            <w:r w:rsidR="00A16D3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ll</w:t>
            </w:r>
            <w:r w:rsidR="00A16D3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’attuale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ricerca di un nuovo 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ordine 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internazionale</w:t>
            </w:r>
          </w:p>
          <w:p w:rsidR="00A437AF" w:rsidRPr="00B827D2" w:rsidRDefault="00A16D3F" w:rsidP="00B827D2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Descrivere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i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principali 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fattori di instabilità politica e collocare nello spazio le aree di maggiore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tensione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La globalizzazione economica</w:t>
            </w:r>
          </w:p>
          <w:p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La persistenza dei divari socioeconomici, la frattura </w:t>
            </w:r>
            <w:r w:rsidR="00D3304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del benessere</w:t>
            </w:r>
          </w:p>
          <w:p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La globalizzazione culturale </w:t>
            </w:r>
            <w:r w:rsidR="00D3304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e geopolitica</w:t>
            </w:r>
          </w:p>
          <w:p w:rsidR="00A437AF" w:rsidRPr="00A437AF" w:rsidRDefault="00A437AF" w:rsidP="00BB4B8B">
            <w:pPr>
              <w:autoSpaceDE w:val="0"/>
              <w:ind w:left="170" w:hanging="17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Contenuti audio/scritti </w:t>
            </w:r>
          </w:p>
          <w:p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Assegnazioni di esercizi sui singoli argomenti/autori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Flashcard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:rsidR="00074A95" w:rsidRPr="00A437AF" w:rsidRDefault="00074A95" w:rsidP="00074A95">
      <w:pPr>
        <w:rPr>
          <w:rFonts w:ascii="Cambria" w:hAnsi="Cambria"/>
          <w:b/>
          <w:bCs/>
        </w:rPr>
      </w:pPr>
      <w:r w:rsidRPr="00A437AF">
        <w:rPr>
          <w:rFonts w:ascii="Cambria" w:hAnsi="Cambria"/>
          <w:b/>
          <w:bCs/>
        </w:rPr>
        <w:lastRenderedPageBreak/>
        <w:br w:type="page"/>
      </w:r>
    </w:p>
    <w:p w:rsidR="00074A95" w:rsidRPr="00A437AF" w:rsidRDefault="005E41BE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A437AF">
        <w:rPr>
          <w:rFonts w:ascii="Cambria" w:eastAsia="OfficinaSerif-Bold" w:hAnsi="Cambria" w:cs="OfficinaSerif-Bold"/>
          <w:b/>
          <w:bCs/>
        </w:rPr>
        <w:lastRenderedPageBreak/>
        <w:t>Geografia regionale: Europa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="00074A95" w:rsidRPr="00A437AF">
        <w:rPr>
          <w:rFonts w:ascii="Cambria" w:hAnsi="Cambria"/>
        </w:rPr>
        <w:t>TEMPO</w:t>
      </w:r>
      <w:r w:rsidR="00074A95" w:rsidRPr="00651039">
        <w:rPr>
          <w:rFonts w:ascii="Cambria" w:hAnsi="Cambria"/>
        </w:rPr>
        <w:t>:</w:t>
      </w:r>
      <w:r w:rsidR="00074A95" w:rsidRPr="00651039">
        <w:rPr>
          <w:rFonts w:ascii="Cambria" w:hAnsi="Cambria"/>
          <w:caps/>
          <w:spacing w:val="-2"/>
        </w:rPr>
        <w:t xml:space="preserve"> 6/8</w:t>
      </w:r>
      <w:r w:rsidR="00074A95" w:rsidRPr="00651039">
        <w:rPr>
          <w:rFonts w:ascii="Cambria" w:hAnsi="Cambria"/>
          <w:spacing w:val="-2"/>
        </w:rPr>
        <w:t xml:space="preserve"> ore (dicembre-marzo)</w:t>
      </w:r>
    </w:p>
    <w:p w:rsidR="00074A95" w:rsidRPr="00A437AF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:rsidTr="00A50A1D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:rsidR="00A50A1D" w:rsidRPr="00993DA7" w:rsidRDefault="00D03E11" w:rsidP="00D03E11">
            <w:pPr>
              <w:autoSpaceDE w:val="0"/>
              <w:ind w:left="17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7F5C0C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suppressAutoHyphens/>
              <w:autoSpaceDE w:val="0"/>
              <w:textAlignment w:val="center"/>
              <w:rPr>
                <w:rFonts w:ascii="Cambria" w:hAnsi="Cambria"/>
                <w:b/>
                <w:cap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11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per ulteriori materiali digitali, scopri </w:t>
            </w:r>
            <w: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la piattaforma </w:t>
            </w:r>
            <w:r w:rsidRPr="00C36474">
              <w:rPr>
                <w:rFonts w:ascii="Cambria" w:hAnsi="Cambria"/>
                <w:bCs/>
                <w:i/>
                <w:iCs/>
                <w:color w:val="000000"/>
                <w:kern w:val="24"/>
                <w:sz w:val="20"/>
                <w:szCs w:val="20"/>
              </w:rPr>
              <w:t>Smart Cl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ass </w:t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12" w:tgtFrame="_blank" w:tooltip="https://www.pearson.it/smartclass" w:history="1">
              <w:r w:rsidRPr="00C36474">
                <w:rPr>
                  <w:rFonts w:ascii="Cambria" w:hAnsi="Cambria"/>
                  <w:bCs/>
                  <w:color w:val="00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50A1D" w:rsidRPr="00993DA7" w:rsidRDefault="00A50A1D" w:rsidP="00A50A1D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e sull’aggiornamento didattico, puoi consultare il calendario dei prossimi webinar Pearson (</w:t>
            </w:r>
            <w:hyperlink r:id="rId13" w:tgtFrame="_blank" w:tooltip="https://www.pearson.it/webinar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Pearson Education </w:t>
            </w:r>
            <w:r w:rsidRPr="00A50A1D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Library</w:t>
            </w:r>
            <w:r w:rsidRPr="00A50A1D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14" w:tgtFrame="_blank" w:tooltip="https://www.pearson.it/pel" w:history="1">
              <w:r w:rsidRPr="00A50A1D">
                <w:rPr>
                  <w:rStyle w:val="Collegamentoipertestuale"/>
                  <w:rFonts w:ascii="Cambria" w:hAnsi="Cambria" w:cs="Segoe UI"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437AF" w:rsidRPr="00A437AF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CHIAVE EUROPEE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 xml:space="preserve">Competenza alfabetica funzionale, Competenza digitale, Competenza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>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Definire i concetti di “frammentazione politica”, “Ovest/Est europeo”, “politiche di integrazione”</w:t>
            </w:r>
          </w:p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Europa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651039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:rsid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le cause della frammentazione politica dell’Europa</w:t>
            </w:r>
          </w:p>
          <w:p w:rsidR="003859B8" w:rsidRPr="003859B8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Cogliere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la pluralità religiosa e linguistica dell’Europa</w:t>
            </w:r>
          </w:p>
          <w:p w:rsidR="003859B8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la distribuzione della popolazione europea</w:t>
            </w:r>
          </w:p>
          <w:p w:rsidR="00A437AF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Descrivere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il fenomeno del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l’invecchiamento della popolazione europea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attraverso gli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indicatori demografici</w:t>
            </w:r>
          </w:p>
          <w:p w:rsidR="00A437AF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il ruolo demografico, sociale, culturale, economico dell’immigrazione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verso l’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Europa e le difficoltà nel processo di integrazione</w:t>
            </w:r>
          </w:p>
          <w:p w:rsid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Definire i concetti di </w:t>
            </w:r>
            <w:r w:rsidRPr="00A437AF">
              <w:rPr>
                <w:rFonts w:ascii="Cambria" w:eastAsia="DINPro-Regular" w:hAnsi="Cambria" w:cs="DINPro-Regular"/>
                <w:i/>
                <w:iCs/>
                <w:color w:val="000000"/>
                <w:spacing w:val="-2"/>
                <w:w w:val="95"/>
                <w:kern w:val="2"/>
              </w:rPr>
              <w:t>welfare state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 “spesa sociale”</w:t>
            </w:r>
          </w:p>
          <w:p w:rsidR="00651039" w:rsidRPr="00651039" w:rsidRDefault="00651039" w:rsidP="00651039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le cause delle differenze socioeconomiche fra le regioni d’Europa</w:t>
            </w:r>
          </w:p>
          <w:p w:rsidR="00A437AF" w:rsidRP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le cause del rallentamento dell’economia europea</w:t>
            </w:r>
          </w:p>
          <w:p w:rsidR="00A437AF" w:rsidRPr="003859B8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europei</w:t>
            </w:r>
            <w:r w:rsid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 analizzando criticamente gli aspetti problematici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 xml:space="preserve">Europa: quadro fisico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e politico</w:t>
            </w:r>
          </w:p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La popolazione europea</w:t>
            </w:r>
          </w:p>
          <w:p w:rsidR="00A437AF" w:rsidRPr="00BF4124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L’economia europea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Assegnazioni di esercizi sui singoli argomenti/autori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Flashcard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:rsidR="00074A95" w:rsidRPr="00A437AF" w:rsidRDefault="00074A95" w:rsidP="00074A95">
      <w:pPr>
        <w:rPr>
          <w:rFonts w:ascii="Cambria" w:hAnsi="Cambria"/>
        </w:rPr>
      </w:pPr>
      <w:r w:rsidRPr="00A437AF">
        <w:rPr>
          <w:rFonts w:ascii="Cambria" w:hAnsi="Cambria"/>
        </w:rPr>
        <w:lastRenderedPageBreak/>
        <w:br w:type="page"/>
      </w:r>
    </w:p>
    <w:p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A437AF">
        <w:rPr>
          <w:rFonts w:ascii="Cambria" w:eastAsia="OfficinaSerif-Bold" w:hAnsi="Cambria" w:cs="OfficinaSerif-Bold"/>
          <w:b/>
          <w:bCs/>
        </w:rPr>
        <w:lastRenderedPageBreak/>
        <w:t xml:space="preserve">Geografia regionale: </w:t>
      </w:r>
      <w:r w:rsidR="00FB3AAA" w:rsidRPr="00A437AF">
        <w:rPr>
          <w:rFonts w:ascii="Cambria" w:eastAsia="OfficinaSerif-Bold" w:hAnsi="Cambria" w:cs="OfficinaSerif-Bold"/>
          <w:b/>
          <w:bCs/>
        </w:rPr>
        <w:t>Mondo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Pr="00A437AF">
        <w:rPr>
          <w:rFonts w:ascii="Cambria" w:hAnsi="Cambria"/>
        </w:rPr>
        <w:t>TEMPO:</w:t>
      </w:r>
      <w:r w:rsidRPr="00A437AF">
        <w:rPr>
          <w:rFonts w:ascii="Cambria" w:hAnsi="Cambria"/>
          <w:caps/>
          <w:spacing w:val="-2"/>
        </w:rPr>
        <w:t xml:space="preserve"> </w:t>
      </w:r>
      <w:r w:rsidRPr="00651039">
        <w:rPr>
          <w:rFonts w:ascii="Cambria" w:hAnsi="Cambria"/>
          <w:caps/>
          <w:spacing w:val="-2"/>
        </w:rPr>
        <w:t>6/8</w:t>
      </w:r>
      <w:r w:rsidRPr="00651039">
        <w:rPr>
          <w:rFonts w:ascii="Cambria" w:hAnsi="Cambria"/>
          <w:spacing w:val="-2"/>
        </w:rPr>
        <w:t xml:space="preserve"> ore (aprile-maggio)</w:t>
      </w:r>
    </w:p>
    <w:p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  <w:color w:val="FF0000"/>
        </w:rPr>
      </w:pPr>
    </w:p>
    <w:p w:rsidR="00074A95" w:rsidRPr="00A437AF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:rsidTr="00A50A1D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:rsidR="00A50A1D" w:rsidRPr="00993DA7" w:rsidRDefault="00D03E11" w:rsidP="00A50A1D">
            <w:pPr>
              <w:numPr>
                <w:ilvl w:val="0"/>
                <w:numId w:val="3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A1D" w:rsidRPr="007F5C0C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suppressAutoHyphens/>
              <w:autoSpaceDE w:val="0"/>
              <w:textAlignment w:val="center"/>
              <w:rPr>
                <w:rFonts w:ascii="Cambria" w:hAnsi="Cambria"/>
                <w:b/>
                <w:cap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15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</w:p>
          <w:p w:rsidR="00A50A1D" w:rsidRPr="00C36474" w:rsidRDefault="00A50A1D" w:rsidP="00A50A1D">
            <w:pPr>
              <w:numPr>
                <w:ilvl w:val="0"/>
                <w:numId w:val="10"/>
              </w:numP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per ulteriori materiali digitali, scopri </w:t>
            </w:r>
            <w:r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 xml:space="preserve">la piattaforma </w:t>
            </w:r>
            <w:r w:rsidRPr="00C36474">
              <w:rPr>
                <w:rFonts w:ascii="Cambria" w:hAnsi="Cambria"/>
                <w:bCs/>
                <w:i/>
                <w:iCs/>
                <w:color w:val="000000"/>
                <w:kern w:val="24"/>
                <w:sz w:val="20"/>
                <w:szCs w:val="20"/>
              </w:rPr>
              <w:t>Smart Cl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ass </w:t>
            </w:r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16" w:tgtFrame="_blank" w:tooltip="https://www.pearson.it/smartclass" w:history="1">
              <w:r w:rsidRPr="00C36474">
                <w:rPr>
                  <w:rFonts w:ascii="Cambria" w:hAnsi="Cambria"/>
                  <w:bCs/>
                  <w:color w:val="00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C36474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50A1D" w:rsidRPr="00993DA7" w:rsidRDefault="00A50A1D" w:rsidP="00A50A1D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e sull’aggiornamento didattico, puoi consultare il calendario dei prossimi webinar Pearson (</w:t>
            </w:r>
            <w:hyperlink r:id="rId17" w:tgtFrame="_blank" w:tooltip="https://www.pearson.it/webinar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C36474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 xml:space="preserve">Pearson Education </w:t>
            </w:r>
            <w:r w:rsidRPr="00A50A1D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Library</w:t>
            </w:r>
            <w:r w:rsidRPr="00A50A1D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(</w:t>
            </w:r>
            <w:hyperlink r:id="rId18" w:tgtFrame="_blank" w:tooltip="https://www.pearson.it/pel" w:history="1">
              <w:r w:rsidRPr="00A50A1D">
                <w:rPr>
                  <w:rStyle w:val="Collegamentoipertestuale"/>
                  <w:rFonts w:ascii="Cambria" w:hAnsi="Cambria" w:cs="Segoe UI"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50A1D">
              <w:rPr>
                <w:rFonts w:ascii="Cambria" w:hAnsi="Cambria"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437AF" w:rsidRPr="00A437AF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diritti garantiti dalla Costituzione, a tutela della persona, della collettività e dell’ambiente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CHIAVE EUROPEE</w:t>
            </w:r>
          </w:p>
          <w:p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Collocare nello spazio l’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Asia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:rsidR="00BF4124" w:rsidRPr="00E9634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asiatica e le principali dinamiche demografiche</w:t>
            </w:r>
          </w:p>
          <w:p w:rsidR="00E96344" w:rsidRPr="00E96344" w:rsidRDefault="00E9634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Definire i concetti di “Estremo/Medio Oriente”, “Sud-Est asiatico”, “Tigri asiatiche”</w:t>
            </w:r>
          </w:p>
          <w:p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Problematizzare i motivi per cui il Medio Oriente è fra le zone calde del pianeta</w:t>
            </w:r>
          </w:p>
          <w:p w:rsidR="00A437AF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Comprendere l’origine del divario economico fra alcuni stati dell’Estremo Oriente e gli altri </w:t>
            </w:r>
            <w:r w:rsid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paesi 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del continente</w:t>
            </w:r>
          </w:p>
          <w:p w:rsidR="00BF4124" w:rsidRPr="00A437AF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asiatici, analizzando criticamente gli aspetti problematici</w:t>
            </w:r>
          </w:p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Africa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:rsidR="00BF4124" w:rsidRPr="00A437AF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africana e le principali dinamiche demografiche</w:t>
            </w:r>
          </w:p>
          <w:p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Definire i concetti di “Maghreb”</w:t>
            </w:r>
            <w:r w:rsidR="008A7C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“Mashreq”</w:t>
            </w:r>
            <w:r w:rsidR="008A7C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. “Nord Africa”, “Africa subsahariana”, “Africa australe”</w:t>
            </w:r>
          </w:p>
          <w:p w:rsidR="00A437AF" w:rsidRPr="005D2F7A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Comprendere le cause delle guerre civili scoppiate in Africa 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dopo la decolonizzazione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lo scopo 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degli</w:t>
            </w:r>
            <w:r w:rsidRP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organismi sovranazionali africani</w:t>
            </w:r>
          </w:p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Sintetizzare le caratteristiche fisiche, politiche, demografiche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sociali ed economiche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africani, analizzando criticamente gli aspetti problematici</w:t>
            </w:r>
          </w:p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America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americana e le principali dinamiche demografiche</w:t>
            </w:r>
          </w:p>
          <w:p w:rsidR="00BF4124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Definire i concetti di “Nord America”, “Sud America”, </w:t>
            </w:r>
            <w:r w:rsidR="00BF4124"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“Centro America”,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“America anglosassone”, “America latina”, “afro-americani”, “amerindi”, “nativi”</w:t>
            </w:r>
          </w:p>
          <w:p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Problematizzare il diverso esito politico seguito all’indipendenza nel Nord e nel Sud America</w:t>
            </w:r>
          </w:p>
          <w:p w:rsid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dei principali stati americani,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analizzando criticamente gli aspetti problematici</w:t>
            </w:r>
          </w:p>
          <w:p w:rsidR="005D2F7A" w:rsidRPr="00BF4124" w:rsidRDefault="005D2F7A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Oceania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le isole e arcipelaghi maggiori,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:rsidR="005D2F7A" w:rsidRPr="00BF4124" w:rsidRDefault="005D2F7A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dell’Oceania e le principali dinamiche demografiche</w:t>
            </w:r>
          </w:p>
          <w:p w:rsidR="00A437AF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Definire i concetti di “culture autoctone”, “aborigeni”, “Pacific Rim”</w:t>
            </w:r>
          </w:p>
          <w:p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il ruolo unificante del Pacifico per l’Oceania sotto l’aspetto fisico e culturale</w:t>
            </w:r>
          </w:p>
          <w:p w:rsidR="00A437AF" w:rsidRPr="00BC0D6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i problemi ambientali della maggior parte degli stati dell’Oceania</w:t>
            </w:r>
            <w:r w:rsid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lo </w:t>
            </w:r>
            <w:r w:rsidR="00BF4124"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sviluppo di Australia e Nuova Zelanda a fronte</w:t>
            </w:r>
            <w:r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della fragilità </w:t>
            </w:r>
            <w:r w:rsid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economica </w:t>
            </w:r>
            <w:r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piccoli stati insulari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Asia: quadro fisico, politico, demografico ed economico</w:t>
            </w:r>
          </w:p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Africa: quadro fisico, politico, demografico ed economico</w:t>
            </w:r>
          </w:p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America: quadro fisico, politico, demografico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ed economico</w:t>
            </w:r>
          </w:p>
          <w:p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Oceania: quadro fisico, politico, demografico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ed economico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Assegnazioni di esercizi sui singoli argomenti/autori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Flashcard</w:t>
            </w:r>
          </w:p>
          <w:p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:rsidR="00D476DC" w:rsidRPr="00A437AF" w:rsidRDefault="00D476DC">
      <w:pPr>
        <w:rPr>
          <w:rFonts w:ascii="Cambria" w:hAnsi="Cambria"/>
        </w:rPr>
      </w:pPr>
    </w:p>
    <w:sectPr w:rsidR="00D476DC" w:rsidRPr="00A437AF" w:rsidSect="00651039">
      <w:footerReference w:type="default" r:id="rId19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81E" w:rsidRDefault="0084381E" w:rsidP="00A437AF">
      <w:r>
        <w:separator/>
      </w:r>
    </w:p>
  </w:endnote>
  <w:endnote w:type="continuationSeparator" w:id="0">
    <w:p w:rsidR="0084381E" w:rsidRDefault="0084381E" w:rsidP="00A4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AF" w:rsidRDefault="00A437AF" w:rsidP="00A437AF">
    <w:pPr>
      <w:pStyle w:val="Pidipagina"/>
      <w:ind w:right="360"/>
    </w:pPr>
  </w:p>
  <w:p w:rsidR="00A437AF" w:rsidRPr="003764AD" w:rsidRDefault="00A437AF" w:rsidP="00A437AF">
    <w:pPr>
      <w:pStyle w:val="Pidipagina"/>
      <w:ind w:right="360"/>
      <w:rPr>
        <w:rFonts w:ascii="Cambria" w:hAnsi="Cambria"/>
        <w:lang w:val="en-US"/>
      </w:rPr>
    </w:pPr>
    <w:r w:rsidRPr="003764AD">
      <w:rPr>
        <w:rFonts w:ascii="Cambria" w:hAnsi="Cambria"/>
        <w:lang w:val="en-US"/>
      </w:rPr>
      <w:t>© Pearson Italia S.p.A.</w:t>
    </w:r>
  </w:p>
  <w:p w:rsidR="00A437AF" w:rsidRPr="00F75FCD" w:rsidRDefault="00A437AF" w:rsidP="00A437A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81E" w:rsidRDefault="0084381E" w:rsidP="00A437AF">
      <w:r>
        <w:separator/>
      </w:r>
    </w:p>
  </w:footnote>
  <w:footnote w:type="continuationSeparator" w:id="0">
    <w:p w:rsidR="0084381E" w:rsidRDefault="0084381E" w:rsidP="00A4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8B6"/>
    <w:multiLevelType w:val="hybridMultilevel"/>
    <w:tmpl w:val="1C068A14"/>
    <w:lvl w:ilvl="0" w:tplc="516288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8C2"/>
    <w:multiLevelType w:val="hybridMultilevel"/>
    <w:tmpl w:val="66D4619A"/>
    <w:lvl w:ilvl="0" w:tplc="15747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642"/>
    <w:multiLevelType w:val="hybridMultilevel"/>
    <w:tmpl w:val="337C99E6"/>
    <w:lvl w:ilvl="0" w:tplc="15AA881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8DB"/>
    <w:multiLevelType w:val="hybridMultilevel"/>
    <w:tmpl w:val="D56E925E"/>
    <w:lvl w:ilvl="0" w:tplc="4162B2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06AA9D2">
      <w:numFmt w:val="bullet"/>
      <w:lvlText w:val="•"/>
      <w:lvlJc w:val="left"/>
      <w:pPr>
        <w:ind w:left="1440" w:hanging="360"/>
      </w:pPr>
      <w:rPr>
        <w:rFonts w:ascii="Cambria" w:eastAsia="DINPro-Medium" w:hAnsi="Cambria" w:cs="DINPro-Medium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72B6"/>
    <w:multiLevelType w:val="hybridMultilevel"/>
    <w:tmpl w:val="F88E123C"/>
    <w:lvl w:ilvl="0" w:tplc="1A06C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881"/>
    <w:multiLevelType w:val="hybridMultilevel"/>
    <w:tmpl w:val="FAAA137E"/>
    <w:lvl w:ilvl="0" w:tplc="D90C5AD8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ambria" w:hAnsi="Cambria" w:hint="default"/>
        <w:color w:val="auto"/>
      </w:rPr>
    </w:lvl>
    <w:lvl w:ilvl="1" w:tplc="9EAEF9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8AA"/>
    <w:multiLevelType w:val="hybridMultilevel"/>
    <w:tmpl w:val="19C286E8"/>
    <w:lvl w:ilvl="0" w:tplc="89B66CA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2BF"/>
    <w:multiLevelType w:val="hybridMultilevel"/>
    <w:tmpl w:val="5D6EC70C"/>
    <w:lvl w:ilvl="0" w:tplc="97F65D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EAE646A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ambria" w:eastAsia="DINPro-Medium" w:hAnsi="Cambria" w:cs="DINPro-Medium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3D2B"/>
    <w:multiLevelType w:val="hybridMultilevel"/>
    <w:tmpl w:val="9FE22982"/>
    <w:lvl w:ilvl="0" w:tplc="B27016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5"/>
    <w:rsid w:val="000218EC"/>
    <w:rsid w:val="00074A95"/>
    <w:rsid w:val="000C0DFA"/>
    <w:rsid w:val="000D002B"/>
    <w:rsid w:val="00124FBD"/>
    <w:rsid w:val="001E067A"/>
    <w:rsid w:val="00322CE3"/>
    <w:rsid w:val="003859B8"/>
    <w:rsid w:val="00432B65"/>
    <w:rsid w:val="005D2F7A"/>
    <w:rsid w:val="005D510D"/>
    <w:rsid w:val="005E41BE"/>
    <w:rsid w:val="00602911"/>
    <w:rsid w:val="006271BD"/>
    <w:rsid w:val="00651039"/>
    <w:rsid w:val="00656929"/>
    <w:rsid w:val="007C6E4C"/>
    <w:rsid w:val="007E0FEF"/>
    <w:rsid w:val="007E3C95"/>
    <w:rsid w:val="0084381E"/>
    <w:rsid w:val="008447A7"/>
    <w:rsid w:val="008A7CAF"/>
    <w:rsid w:val="00901174"/>
    <w:rsid w:val="009062E6"/>
    <w:rsid w:val="009E3F44"/>
    <w:rsid w:val="00A16D3F"/>
    <w:rsid w:val="00A437AF"/>
    <w:rsid w:val="00A50A1D"/>
    <w:rsid w:val="00A717CD"/>
    <w:rsid w:val="00A72397"/>
    <w:rsid w:val="00B827D2"/>
    <w:rsid w:val="00B836B8"/>
    <w:rsid w:val="00BA3A43"/>
    <w:rsid w:val="00BB4B8B"/>
    <w:rsid w:val="00BC0D64"/>
    <w:rsid w:val="00BF4124"/>
    <w:rsid w:val="00C84AF1"/>
    <w:rsid w:val="00D03E11"/>
    <w:rsid w:val="00D33042"/>
    <w:rsid w:val="00D41C4C"/>
    <w:rsid w:val="00D476DC"/>
    <w:rsid w:val="00D7762D"/>
    <w:rsid w:val="00D93868"/>
    <w:rsid w:val="00DC33F6"/>
    <w:rsid w:val="00DD217B"/>
    <w:rsid w:val="00DE5E41"/>
    <w:rsid w:val="00E324F7"/>
    <w:rsid w:val="00E56F3D"/>
    <w:rsid w:val="00E96344"/>
    <w:rsid w:val="00E97E5D"/>
    <w:rsid w:val="00EB3A77"/>
    <w:rsid w:val="00EC33EC"/>
    <w:rsid w:val="00F523F5"/>
    <w:rsid w:val="00F75FCD"/>
    <w:rsid w:val="00F8040F"/>
    <w:rsid w:val="00FB1068"/>
    <w:rsid w:val="00FB1C15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F25221-2A9F-A746-8BA8-B1BBE87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A9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074A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074A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E4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E4C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37A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7A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37A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7AF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A4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l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it/place" TargetMode="External"/><Relationship Id="rId10" Type="http://schemas.openxmlformats.org/officeDocument/2006/relationships/hyperlink" Target="https://www.pearson.it/pe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e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 Pearson</cp:lastModifiedBy>
  <cp:revision>28</cp:revision>
  <dcterms:created xsi:type="dcterms:W3CDTF">2020-07-13T11:12:00Z</dcterms:created>
  <dcterms:modified xsi:type="dcterms:W3CDTF">2020-08-17T14:24:00Z</dcterms:modified>
</cp:coreProperties>
</file>