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7BD6" w14:textId="77777777" w:rsidR="00F75FCD" w:rsidRDefault="00F75FCD" w:rsidP="00F75FCD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</w:rPr>
      </w:pPr>
      <w:r w:rsidRPr="003764AD">
        <w:rPr>
          <w:rFonts w:ascii="Cambria" w:eastAsia="OfficinaSerif-Bold" w:hAnsi="Cambria" w:cs="OfficinaSerif-Bold"/>
          <w:b/>
          <w:bCs/>
          <w:sz w:val="28"/>
        </w:rPr>
        <w:t xml:space="preserve">GEOGRAFIA - PROPOSTE DI PROGRAMMAZIONE </w:t>
      </w:r>
      <w:r w:rsidRPr="00406131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 xml:space="preserve">PER </w:t>
      </w:r>
      <w:r w:rsidR="00DC33F6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>LA DDI</w:t>
      </w:r>
      <w:r w:rsidRPr="00406131">
        <w:rPr>
          <w:rFonts w:ascii="Cambria" w:eastAsia="OfficinaSerif-Bold" w:hAnsi="Cambria" w:cs="OfficinaSerif-Bold"/>
          <w:b/>
          <w:bCs/>
          <w:color w:val="000000" w:themeColor="text1"/>
          <w:sz w:val="28"/>
        </w:rPr>
        <w:t xml:space="preserve"> </w:t>
      </w:r>
    </w:p>
    <w:p w14:paraId="102E908B" w14:textId="77777777" w:rsidR="00A437AF" w:rsidRPr="00993DA7" w:rsidRDefault="00A437AF" w:rsidP="00A437AF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</w:rPr>
      </w:pPr>
      <w:r>
        <w:rPr>
          <w:rFonts w:ascii="Cambria" w:eastAsia="OfficinaSerif-Bold" w:hAnsi="Cambria" w:cs="OfficinaSerif-Bold"/>
          <w:b/>
          <w:bCs/>
          <w:sz w:val="28"/>
        </w:rPr>
        <w:t>SECONDO</w:t>
      </w:r>
      <w:r w:rsidRPr="003764AD">
        <w:rPr>
          <w:rFonts w:ascii="Cambria" w:eastAsia="OfficinaSerif-Bold" w:hAnsi="Cambria" w:cs="OfficinaSerif-Bold"/>
          <w:b/>
          <w:bCs/>
          <w:sz w:val="28"/>
        </w:rPr>
        <w:t xml:space="preserve"> ANNO</w:t>
      </w:r>
    </w:p>
    <w:p w14:paraId="656BE921" w14:textId="77777777"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  <w:szCs w:val="28"/>
        </w:rPr>
      </w:pPr>
    </w:p>
    <w:p w14:paraId="77DB7F83" w14:textId="77777777"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eastAsia="OfficinaSerif-Bold" w:hAnsi="Cambria" w:cs="OfficinaSerif-Bold"/>
          <w:b/>
          <w:bCs/>
          <w:sz w:val="28"/>
          <w:szCs w:val="28"/>
        </w:rPr>
      </w:pPr>
    </w:p>
    <w:p w14:paraId="3AB7AD57" w14:textId="77777777" w:rsidR="00074A95" w:rsidRPr="00A437AF" w:rsidRDefault="00A437AF" w:rsidP="00651039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9E7C79">
        <w:rPr>
          <w:rFonts w:ascii="Cambria" w:eastAsia="OfficinaSerif-Bold" w:hAnsi="Cambria" w:cs="OfficinaSerif-Bold"/>
          <w:b/>
          <w:bCs/>
          <w:sz w:val="28"/>
        </w:rPr>
        <w:t>La globalizzazione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="00074A95" w:rsidRPr="00A437AF">
        <w:rPr>
          <w:rFonts w:ascii="Cambria" w:hAnsi="Cambria"/>
        </w:rPr>
        <w:t>TEMPO</w:t>
      </w:r>
      <w:r w:rsidR="00074A95" w:rsidRPr="00651039">
        <w:rPr>
          <w:rFonts w:ascii="Cambria" w:hAnsi="Cambria"/>
        </w:rPr>
        <w:t>:</w:t>
      </w:r>
      <w:r w:rsidR="00074A95" w:rsidRPr="00651039">
        <w:rPr>
          <w:rFonts w:ascii="Cambria" w:hAnsi="Cambria"/>
          <w:caps/>
          <w:spacing w:val="-2"/>
        </w:rPr>
        <w:t xml:space="preserve"> 6/8</w:t>
      </w:r>
      <w:r w:rsidR="00074A95" w:rsidRPr="00651039">
        <w:rPr>
          <w:rFonts w:ascii="Cambria" w:hAnsi="Cambria"/>
          <w:spacing w:val="-2"/>
        </w:rPr>
        <w:t xml:space="preserve"> ore (settembre-novembre)</w:t>
      </w:r>
    </w:p>
    <w:p w14:paraId="3381BA0C" w14:textId="77777777" w:rsidR="00074A95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p w14:paraId="12CB373A" w14:textId="77777777" w:rsidR="00651039" w:rsidRPr="00A437AF" w:rsidRDefault="00651039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14:paraId="5AE91C8D" w14:textId="77777777" w:rsidTr="00EB2A84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26FE2" w14:textId="77777777"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AF356" w14:textId="77777777"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619F7" w14:textId="77777777"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14:paraId="4D8EC59D" w14:textId="77777777" w:rsidR="00A50A1D" w:rsidRPr="00993DA7" w:rsidRDefault="00D03E11" w:rsidP="00D03E11">
            <w:pPr>
              <w:autoSpaceDE w:val="0"/>
              <w:ind w:left="17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274295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274295">
              <w:rPr>
                <w:bCs/>
                <w:i/>
                <w:i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</w:t>
            </w:r>
            <w:proofErr w:type="spellStart"/>
            <w:r>
              <w:rPr>
                <w:bCs/>
                <w:kern w:val="24"/>
                <w:sz w:val="20"/>
              </w:rPr>
              <w:t>https</w:t>
            </w:r>
            <w:proofErr w:type="spellEnd"/>
            <w:r>
              <w:rPr>
                <w:bCs/>
                <w:kern w:val="24"/>
                <w:sz w:val="20"/>
              </w:rPr>
              <w:t>://www.pearson.it/</w:t>
            </w:r>
            <w:proofErr w:type="spellStart"/>
            <w:r>
              <w:rPr>
                <w:bCs/>
                <w:kern w:val="24"/>
                <w:sz w:val="20"/>
              </w:rPr>
              <w:t>place</w:t>
            </w:r>
            <w:proofErr w:type="spellEnd"/>
            <w:r>
              <w:rPr>
                <w:bCs/>
                <w:kern w:val="24"/>
                <w:sz w:val="20"/>
              </w:rPr>
              <w:t>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BF0BD" w14:textId="77777777" w:rsidR="00EB2A84" w:rsidRPr="007F5C0C" w:rsidRDefault="00EB2A84" w:rsidP="00EB2A84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14:paraId="37EF6A10" w14:textId="77777777" w:rsidR="00EB2A84" w:rsidRPr="00BA4CC4" w:rsidRDefault="00EB2A84" w:rsidP="00EB2A84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7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Place</w:t>
            </w:r>
            <w:proofErr w:type="spellEnd"/>
          </w:p>
          <w:p w14:paraId="76C4B4C3" w14:textId="77777777" w:rsidR="00EB2A84" w:rsidRPr="00BA4CC4" w:rsidRDefault="00EB2A84" w:rsidP="00EB2A84">
            <w:pPr>
              <w:numPr>
                <w:ilvl w:val="0"/>
                <w:numId w:val="2"/>
              </w:numPr>
              <w:shd w:val="clear" w:color="auto" w:fill="FFFFFF"/>
              <w:ind w:right="276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per ulteriori materiali digitali, scopri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piattaforma 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KmZero</w:t>
            </w:r>
            <w:proofErr w:type="spellEnd"/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8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https://it.pearson.com/kmzero</w:t>
              </w:r>
            </w:hyperlink>
          </w:p>
          <w:p w14:paraId="76594CED" w14:textId="73578B95" w:rsidR="00A50A1D" w:rsidRPr="00993DA7" w:rsidRDefault="00EB2A84" w:rsidP="00EB2A84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e sull’aggiornamento didattico, puoi consultare il calendario dei prossimi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webinar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Pearso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n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9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 richiedere l’accesso alla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Education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Library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10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https://www.pearson.it/pel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oppure visitare la sezione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Pearson Academy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11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https://it.pearson.com/pearson-academy.html</w:t>
              </w:r>
            </w:hyperlink>
          </w:p>
        </w:tc>
      </w:tr>
      <w:tr w:rsidR="00A437AF" w:rsidRPr="00A437AF" w14:paraId="52281876" w14:textId="77777777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94230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14:paraId="646CF3AB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il confronto fra epoche e in una dimensione sincronica attraverso il confronto fra aree geografiche e culturali.</w:t>
            </w:r>
          </w:p>
          <w:p w14:paraId="42CCC4DB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44A8E850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14:paraId="1EE52E57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14:paraId="592F7AF3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14:paraId="0D8C90BA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14:paraId="6498D7E1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14:paraId="569EC84D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14:paraId="24770B97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06045CA0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14:paraId="70622583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046060F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14:paraId="19631D7B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 xml:space="preserve">Imparare a imparare, Progettare, Comunicare, Collaborare e partecipare, Agire in modo autonomo e responsabile, Risolvere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>problemi, Individuare collegamenti e relazioni, Acquisire e interpretare l’informazione</w:t>
            </w:r>
          </w:p>
          <w:p w14:paraId="0A6EBBB9" w14:textId="77777777"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524675A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CHIAVE EUROPEE</w:t>
            </w:r>
          </w:p>
          <w:p w14:paraId="709DCE1A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8A8C3" w14:textId="77777777"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Definire i concetti di “globalizzazione economica”, “economia di mercato”, “centro e periferia </w:t>
            </w:r>
            <w:proofErr w:type="spellStart"/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geoeconomica</w:t>
            </w:r>
            <w:proofErr w:type="spellEnd"/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”, 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“multinazionale”, “delocalizzazione”</w:t>
            </w:r>
          </w:p>
          <w:p w14:paraId="0E6F41A5" w14:textId="77777777" w:rsidR="00A437AF" w:rsidRPr="00E96344" w:rsidRDefault="00F523F5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la distinzione fra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le aree economiche del mondo in base al grado di coinvolgimento nel processo di globalizzazione</w:t>
            </w:r>
          </w:p>
          <w:p w14:paraId="5D3613B5" w14:textId="77777777" w:rsidR="00A437AF" w:rsidRPr="00A437AF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Problematizzare i rischi e le opportunità 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della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globalizzazione</w:t>
            </w:r>
          </w:p>
          <w:p w14:paraId="7E9EEC81" w14:textId="77777777" w:rsidR="00A437AF" w:rsidRPr="00A437AF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Definire i concetti di “divario socioeconomico”,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“Primo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Secondo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Terzo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Quarto mondo”,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“Nord/Sud del mondo”, 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“colonizzazione”, “decolonizzazione”, “povertà assoluta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/relativa</w:t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”</w:t>
            </w:r>
            <w:r w:rsidR="00B827D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, “malnutrizione”, “sottoalimentazione”</w:t>
            </w:r>
          </w:p>
          <w:p w14:paraId="31E40454" w14:textId="77777777" w:rsidR="00F523F5" w:rsidRPr="00E96344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i principali indicatori socioeconomici e demografici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e c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omprendere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la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ripartizione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degli</w:t>
            </w:r>
            <w:r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stati secondo il </w:t>
            </w:r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Pil e l’</w:t>
            </w:r>
            <w:proofErr w:type="spellStart"/>
            <w:r w:rsidR="00F523F5" w:rsidRP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Isu</w:t>
            </w:r>
            <w:proofErr w:type="spellEnd"/>
          </w:p>
          <w:p w14:paraId="1386E0E9" w14:textId="77777777" w:rsidR="00A437AF" w:rsidRP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</w:t>
            </w:r>
            <w:r w:rsid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l’origine storica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dei divari di sviluppo e le cause dell’attuale persistenza dei divari socioeconomici</w:t>
            </w:r>
          </w:p>
          <w:p w14:paraId="386F0EAE" w14:textId="77777777"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Definire i concetti di “omologazione culturale”, </w:t>
            </w:r>
            <w:r w:rsidRPr="00F523F5">
              <w:rPr>
                <w:rFonts w:ascii="Cambria" w:eastAsia="DINPro-Medium" w:hAnsi="Cambria" w:cs="DINPro-Medium"/>
                <w:bCs/>
                <w:i/>
                <w:iCs/>
                <w:color w:val="000000"/>
                <w:spacing w:val="-2"/>
                <w:w w:val="95"/>
                <w:kern w:val="2"/>
              </w:rPr>
              <w:t>corporation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F523F5">
              <w:rPr>
                <w:rFonts w:ascii="Cambria" w:eastAsia="DINPro-Medium" w:hAnsi="Cambria" w:cs="DINPro-Medium"/>
                <w:bCs/>
                <w:i/>
                <w:iCs/>
                <w:color w:val="000000"/>
                <w:spacing w:val="-2"/>
                <w:w w:val="95"/>
                <w:kern w:val="2"/>
              </w:rPr>
              <w:t>digital</w:t>
            </w:r>
            <w:proofErr w:type="spellEnd"/>
            <w:r w:rsidRPr="00F523F5">
              <w:rPr>
                <w:rFonts w:ascii="Cambria" w:eastAsia="DINPro-Medium" w:hAnsi="Cambria" w:cs="DINPro-Medium"/>
                <w:bCs/>
                <w:i/>
                <w:iCs/>
                <w:color w:val="000000"/>
                <w:spacing w:val="-2"/>
                <w:w w:val="95"/>
                <w:kern w:val="2"/>
              </w:rPr>
              <w:t xml:space="preserve"> divide</w:t>
            </w:r>
          </w:p>
          <w:p w14:paraId="1793005B" w14:textId="77777777" w:rsid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ruolo della cultura e dell’informazione 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occidentali nel mondo e i mezzi di cui si avvalgono</w:t>
            </w:r>
          </w:p>
          <w:p w14:paraId="7D81600C" w14:textId="77777777" w:rsidR="00651039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ruolo di internet e dei social network nella diffusione dell’informazione</w:t>
            </w:r>
          </w:p>
          <w:p w14:paraId="674EA704" w14:textId="77777777" w:rsidR="00F523F5" w:rsidRPr="00651039" w:rsidRDefault="00F523F5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Definire i concetti di “terrorismo”, “fondamentalismo religioso”, “nuove guerre”, “primavera araba”</w:t>
            </w:r>
          </w:p>
          <w:p w14:paraId="4F6A2BA1" w14:textId="77777777" w:rsidR="00A437AF" w:rsidRPr="00F523F5" w:rsidRDefault="00A437AF" w:rsidP="00BB4B8B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Comprendere le caratteristiche dell’equilibrio geopolitico durante la guerra fredda e </w:t>
            </w:r>
            <w:r w:rsidR="00A16D3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ll</w:t>
            </w:r>
            <w:r w:rsidR="00A16D3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’attuale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ricerca di un nuovo </w:t>
            </w:r>
            <w:r w:rsidR="00E96344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ordine </w:t>
            </w:r>
            <w:r w:rsidRPr="00F523F5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internazionale</w:t>
            </w:r>
          </w:p>
          <w:p w14:paraId="37189DE6" w14:textId="77777777" w:rsidR="00A437AF" w:rsidRPr="00B827D2" w:rsidRDefault="00A16D3F" w:rsidP="00B827D2">
            <w:pPr>
              <w:pStyle w:val="Paragrafoelenco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Descrivere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i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principali </w:t>
            </w:r>
            <w:r w:rsidR="00A437AF"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fattori di instabilità politica e collocare nello spazio le aree di maggiore </w:t>
            </w:r>
            <w:r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tensione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E554C" w14:textId="77777777"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La globalizzazione economica</w:t>
            </w:r>
          </w:p>
          <w:p w14:paraId="11CB2F29" w14:textId="77777777"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La persistenza dei divari socioeconomici, la frattura </w:t>
            </w:r>
            <w:r w:rsidR="00D3304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del benessere</w:t>
            </w:r>
          </w:p>
          <w:p w14:paraId="3ADCF69C" w14:textId="77777777" w:rsidR="00A437AF" w:rsidRPr="00A437AF" w:rsidRDefault="00A437AF" w:rsidP="00322CE3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La globalizzazione culturale </w:t>
            </w:r>
            <w:r w:rsidR="00D33042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e geopolitica</w:t>
            </w:r>
          </w:p>
          <w:p w14:paraId="49ED99C9" w14:textId="77777777" w:rsidR="00A437AF" w:rsidRPr="00A437AF" w:rsidRDefault="00A437AF" w:rsidP="00BB4B8B">
            <w:pPr>
              <w:autoSpaceDE w:val="0"/>
              <w:ind w:left="170" w:hanging="17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18910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lastRenderedPageBreak/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76640ADE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14:paraId="7701E19A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1E38D3FF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0529ABA4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2AAA696D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669B52F0" w14:textId="77777777"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14:paraId="6FC9A0F1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14:paraId="25304300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Assegnazioni di esercizi sui singoli argomenti/autori</w:t>
            </w:r>
          </w:p>
          <w:p w14:paraId="47871DCF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14:paraId="258F5AA1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07949075" w14:textId="77777777"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14:paraId="6976944B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14:paraId="0523FF81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510DADD0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14D1D603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510BF593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2D8E2FD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</w:t>
            </w:r>
            <w:proofErr w:type="spellStart"/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6588F4E6" w14:textId="77777777"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14:paraId="673F38D6" w14:textId="77777777" w:rsidR="00074A95" w:rsidRPr="00A437AF" w:rsidRDefault="00074A95" w:rsidP="00074A95">
      <w:pPr>
        <w:rPr>
          <w:rFonts w:ascii="Cambria" w:hAnsi="Cambria"/>
          <w:b/>
          <w:bCs/>
        </w:rPr>
      </w:pPr>
      <w:r w:rsidRPr="00A437AF">
        <w:rPr>
          <w:rFonts w:ascii="Cambria" w:hAnsi="Cambria"/>
          <w:b/>
          <w:bCs/>
        </w:rPr>
        <w:lastRenderedPageBreak/>
        <w:br w:type="page"/>
      </w:r>
    </w:p>
    <w:p w14:paraId="7F745F00" w14:textId="77777777" w:rsidR="00074A95" w:rsidRPr="00A437AF" w:rsidRDefault="005E41BE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A437AF">
        <w:rPr>
          <w:rFonts w:ascii="Cambria" w:eastAsia="OfficinaSerif-Bold" w:hAnsi="Cambria" w:cs="OfficinaSerif-Bold"/>
          <w:b/>
          <w:bCs/>
        </w:rPr>
        <w:lastRenderedPageBreak/>
        <w:t>Geografia regionale: Europa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="00074A95" w:rsidRPr="00A437AF">
        <w:rPr>
          <w:rFonts w:ascii="Cambria" w:hAnsi="Cambria"/>
        </w:rPr>
        <w:t>TEMPO</w:t>
      </w:r>
      <w:r w:rsidR="00074A95" w:rsidRPr="00651039">
        <w:rPr>
          <w:rFonts w:ascii="Cambria" w:hAnsi="Cambria"/>
        </w:rPr>
        <w:t>:</w:t>
      </w:r>
      <w:r w:rsidR="00074A95" w:rsidRPr="00651039">
        <w:rPr>
          <w:rFonts w:ascii="Cambria" w:hAnsi="Cambria"/>
          <w:caps/>
          <w:spacing w:val="-2"/>
        </w:rPr>
        <w:t xml:space="preserve"> 6/8</w:t>
      </w:r>
      <w:r w:rsidR="00074A95" w:rsidRPr="00651039">
        <w:rPr>
          <w:rFonts w:ascii="Cambria" w:hAnsi="Cambria"/>
          <w:spacing w:val="-2"/>
        </w:rPr>
        <w:t xml:space="preserve"> ore (dicembre-marzo)</w:t>
      </w:r>
    </w:p>
    <w:p w14:paraId="2E6D8D78" w14:textId="77777777" w:rsidR="00074A95" w:rsidRPr="00A437AF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14:paraId="2E5AB233" w14:textId="77777777" w:rsidTr="00EB2A84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901D8" w14:textId="77777777"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89FBA" w14:textId="77777777"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45766" w14:textId="77777777"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14:paraId="041999B5" w14:textId="77777777" w:rsidR="00A50A1D" w:rsidRPr="00993DA7" w:rsidRDefault="00D03E11" w:rsidP="00D03E11">
            <w:pPr>
              <w:autoSpaceDE w:val="0"/>
              <w:ind w:left="17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274295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274295">
              <w:rPr>
                <w:bCs/>
                <w:i/>
                <w:i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</w:t>
            </w:r>
            <w:proofErr w:type="spellStart"/>
            <w:r>
              <w:rPr>
                <w:bCs/>
                <w:kern w:val="24"/>
                <w:sz w:val="20"/>
              </w:rPr>
              <w:t>https</w:t>
            </w:r>
            <w:proofErr w:type="spellEnd"/>
            <w:r>
              <w:rPr>
                <w:bCs/>
                <w:kern w:val="24"/>
                <w:sz w:val="20"/>
              </w:rPr>
              <w:t>://www.pearson.it/</w:t>
            </w:r>
            <w:proofErr w:type="spellStart"/>
            <w:r>
              <w:rPr>
                <w:bCs/>
                <w:kern w:val="24"/>
                <w:sz w:val="20"/>
              </w:rPr>
              <w:t>place</w:t>
            </w:r>
            <w:proofErr w:type="spellEnd"/>
            <w:r>
              <w:rPr>
                <w:bCs/>
                <w:kern w:val="24"/>
                <w:sz w:val="20"/>
              </w:rPr>
              <w:t>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60280" w14:textId="77777777" w:rsidR="00EB2A84" w:rsidRPr="007F5C0C" w:rsidRDefault="00EB2A84" w:rsidP="00EB2A84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14:paraId="327AC21E" w14:textId="77777777" w:rsidR="00EB2A84" w:rsidRPr="00BA4CC4" w:rsidRDefault="00EB2A84" w:rsidP="00EB2A84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12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Place</w:t>
            </w:r>
            <w:proofErr w:type="spellEnd"/>
          </w:p>
          <w:p w14:paraId="2A75B5AB" w14:textId="77777777" w:rsidR="00EB2A84" w:rsidRPr="00BA4CC4" w:rsidRDefault="00EB2A84" w:rsidP="00EB2A84">
            <w:pPr>
              <w:numPr>
                <w:ilvl w:val="0"/>
                <w:numId w:val="2"/>
              </w:numPr>
              <w:shd w:val="clear" w:color="auto" w:fill="FFFFFF"/>
              <w:ind w:right="276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per ulteriori materiali digitali, scopri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piattaforma 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KmZero</w:t>
            </w:r>
            <w:proofErr w:type="spellEnd"/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13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https://it.pearson.com/kmzero</w:t>
              </w:r>
            </w:hyperlink>
          </w:p>
          <w:p w14:paraId="7A69226D" w14:textId="00C72084" w:rsidR="00A50A1D" w:rsidRPr="00993DA7" w:rsidRDefault="00EB2A84" w:rsidP="00EB2A84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e sull’aggiornamento didattico, puoi consultare il calendario dei prossimi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webinar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Pearso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n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14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 richiedere l’accesso alla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Education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Library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15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https://www.pearson.it/pel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oppure visitare la sezione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Pearson Academy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16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https://it.pearson.com/pearson-academy.html</w:t>
              </w:r>
            </w:hyperlink>
          </w:p>
        </w:tc>
      </w:tr>
      <w:tr w:rsidR="00A437AF" w:rsidRPr="00A437AF" w14:paraId="5C759398" w14:textId="77777777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31914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14:paraId="22960A34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711242FB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</w:t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sul reciproco riconoscimento dei diritti garantiti dalla Costituzione, a tutela della persona, della collettività e dell’ambiente</w:t>
            </w:r>
          </w:p>
          <w:p w14:paraId="64A08C12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14:paraId="7E2A7629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14:paraId="3E040B1D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14:paraId="3C2B3A11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14:paraId="615F728B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14:paraId="25BA2C91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14:paraId="724C89FE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7D56D4DF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14:paraId="07317C1B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072CC7D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14:paraId="1F1B7F20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7CE8AC70" w14:textId="77777777"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52C3F46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CHIAVE EUROPEE</w:t>
            </w:r>
          </w:p>
          <w:p w14:paraId="0D841A34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DF218" w14:textId="77777777" w:rsidR="00A437AF" w:rsidRP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Definire i concetti di “frammentazione politica”, “Ovest/Est europeo”, “politiche di integrazione”</w:t>
            </w:r>
          </w:p>
          <w:p w14:paraId="066D34DA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Europa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651039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14:paraId="2691302A" w14:textId="77777777" w:rsid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Comprendere le cause della frammentazione politica dell’Europa</w:t>
            </w:r>
          </w:p>
          <w:p w14:paraId="2AF1921A" w14:textId="77777777" w:rsidR="003859B8" w:rsidRPr="003859B8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Cogliere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la pluralità religiosa e linguistica dell’Europa</w:t>
            </w:r>
          </w:p>
          <w:p w14:paraId="107EB6EE" w14:textId="77777777" w:rsidR="003859B8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la distribuzione della popolazione europea</w:t>
            </w:r>
          </w:p>
          <w:p w14:paraId="683C86E0" w14:textId="77777777" w:rsidR="00A437AF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Descrivere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il fenomeno del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l’invecchiamento della popolazione europea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attraverso gli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indicatori demografici</w:t>
            </w:r>
          </w:p>
          <w:p w14:paraId="750F24FA" w14:textId="77777777" w:rsidR="00A437AF" w:rsidRPr="00A437AF" w:rsidRDefault="003859B8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il ruolo demografico, sociale, culturale, economico dell’immigrazione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verso l’</w:t>
            </w:r>
            <w:r w:rsidR="00A437AF"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Europa e le difficoltà nel processo di integrazione</w:t>
            </w:r>
          </w:p>
          <w:p w14:paraId="610A7059" w14:textId="77777777" w:rsid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Definire i concetti di </w:t>
            </w:r>
            <w:r w:rsidRPr="00A437AF">
              <w:rPr>
                <w:rFonts w:ascii="Cambria" w:eastAsia="DINPro-Regular" w:hAnsi="Cambria" w:cs="DINPro-Regular"/>
                <w:i/>
                <w:iCs/>
                <w:color w:val="000000"/>
                <w:spacing w:val="-2"/>
                <w:w w:val="95"/>
                <w:kern w:val="2"/>
              </w:rPr>
              <w:t>welfare state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 “spesa sociale”</w:t>
            </w:r>
          </w:p>
          <w:p w14:paraId="6884E4F7" w14:textId="77777777" w:rsidR="00651039" w:rsidRPr="00651039" w:rsidRDefault="00651039" w:rsidP="00651039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le cause delle differenze socioeconomiche fra le regioni d’Europa</w:t>
            </w:r>
          </w:p>
          <w:p w14:paraId="4D50C161" w14:textId="77777777" w:rsidR="00A437AF" w:rsidRPr="00A437AF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le cause del rallentamento dell’economia europea</w:t>
            </w:r>
          </w:p>
          <w:p w14:paraId="2E17846D" w14:textId="77777777" w:rsidR="00A437AF" w:rsidRPr="003859B8" w:rsidRDefault="00A437AF" w:rsidP="00BB4B8B">
            <w:pPr>
              <w:pStyle w:val="Paragrafoelenco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europei</w:t>
            </w:r>
            <w:r w:rsid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 analizzando criticamente gli aspetti problematici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0096F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lastRenderedPageBreak/>
              <w:t xml:space="preserve">Europa: quadro fisico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e politico</w:t>
            </w:r>
          </w:p>
          <w:p w14:paraId="4EB6DE3C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La popolazione europea</w:t>
            </w:r>
          </w:p>
          <w:p w14:paraId="587887C0" w14:textId="77777777" w:rsidR="00A437AF" w:rsidRPr="00BF4124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en-US"/>
              </w:rPr>
              <w:t>L’economia europea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CB66E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53EF6018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14:paraId="21465329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21F10897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36E34147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474C1204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4C5BF965" w14:textId="77777777"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14:paraId="7F7B7EA4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14:paraId="3FB64972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lastRenderedPageBreak/>
              <w:t>Assegnazioni di esercizi sui singoli argomenti/autori</w:t>
            </w:r>
          </w:p>
          <w:p w14:paraId="4F2C7B98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</w:t>
            </w:r>
          </w:p>
          <w:p w14:paraId="788E669C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0A035A33" w14:textId="77777777"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14:paraId="3DA7FCD1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14:paraId="709AB0CB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797D57E6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58A21202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5C99AF84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EEF3E29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</w:t>
            </w:r>
            <w:proofErr w:type="spellStart"/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0B307141" w14:textId="77777777"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14:paraId="25AC04EA" w14:textId="77777777" w:rsidR="00074A95" w:rsidRPr="00A437AF" w:rsidRDefault="00074A95" w:rsidP="00074A95">
      <w:pPr>
        <w:rPr>
          <w:rFonts w:ascii="Cambria" w:hAnsi="Cambria"/>
        </w:rPr>
      </w:pPr>
      <w:r w:rsidRPr="00A437AF">
        <w:rPr>
          <w:rFonts w:ascii="Cambria" w:hAnsi="Cambria"/>
        </w:rPr>
        <w:lastRenderedPageBreak/>
        <w:br w:type="page"/>
      </w:r>
    </w:p>
    <w:p w14:paraId="53453E8D" w14:textId="77777777"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</w:rPr>
      </w:pPr>
      <w:r w:rsidRPr="00A437AF">
        <w:rPr>
          <w:rFonts w:ascii="Cambria" w:eastAsia="OfficinaSerif-Bold" w:hAnsi="Cambria" w:cs="OfficinaSerif-Bold"/>
          <w:b/>
          <w:bCs/>
        </w:rPr>
        <w:lastRenderedPageBreak/>
        <w:t xml:space="preserve">Geografia regionale: </w:t>
      </w:r>
      <w:r w:rsidR="00FB3AAA" w:rsidRPr="00A437AF">
        <w:rPr>
          <w:rFonts w:ascii="Cambria" w:eastAsia="OfficinaSerif-Bold" w:hAnsi="Cambria" w:cs="OfficinaSerif-Bold"/>
          <w:b/>
          <w:bCs/>
        </w:rPr>
        <w:t>Mondo</w:t>
      </w:r>
      <w:r w:rsidR="00651039">
        <w:rPr>
          <w:rFonts w:ascii="Cambria" w:eastAsia="OfficinaSerif-Bold" w:hAnsi="Cambria" w:cs="OfficinaSerif-Bold"/>
          <w:b/>
          <w:bCs/>
          <w:color w:val="000000"/>
        </w:rPr>
        <w:tab/>
      </w:r>
      <w:r w:rsidRPr="00A437AF">
        <w:rPr>
          <w:rFonts w:ascii="Cambria" w:hAnsi="Cambria"/>
        </w:rPr>
        <w:t>TEMPO:</w:t>
      </w:r>
      <w:r w:rsidRPr="00A437AF">
        <w:rPr>
          <w:rFonts w:ascii="Cambria" w:hAnsi="Cambria"/>
          <w:caps/>
          <w:spacing w:val="-2"/>
        </w:rPr>
        <w:t xml:space="preserve"> </w:t>
      </w:r>
      <w:r w:rsidRPr="00651039">
        <w:rPr>
          <w:rFonts w:ascii="Cambria" w:hAnsi="Cambria"/>
          <w:caps/>
          <w:spacing w:val="-2"/>
        </w:rPr>
        <w:t>6/8</w:t>
      </w:r>
      <w:r w:rsidRPr="00651039">
        <w:rPr>
          <w:rFonts w:ascii="Cambria" w:hAnsi="Cambria"/>
          <w:spacing w:val="-2"/>
        </w:rPr>
        <w:t xml:space="preserve"> ore (aprile-maggio)</w:t>
      </w:r>
    </w:p>
    <w:p w14:paraId="227D943F" w14:textId="77777777" w:rsidR="00074A95" w:rsidRPr="00A437AF" w:rsidRDefault="00074A95" w:rsidP="00074A95">
      <w:pPr>
        <w:tabs>
          <w:tab w:val="left" w:pos="8364"/>
        </w:tabs>
        <w:autoSpaceDE w:val="0"/>
        <w:spacing w:line="270" w:lineRule="atLeast"/>
        <w:textAlignment w:val="center"/>
        <w:rPr>
          <w:rFonts w:ascii="Cambria" w:hAnsi="Cambria"/>
          <w:color w:val="FF0000"/>
        </w:rPr>
      </w:pPr>
    </w:p>
    <w:p w14:paraId="46ACF360" w14:textId="77777777" w:rsidR="00074A95" w:rsidRPr="00A437AF" w:rsidRDefault="00074A95" w:rsidP="00074A95">
      <w:pPr>
        <w:autoSpaceDE w:val="0"/>
        <w:spacing w:line="270" w:lineRule="atLeast"/>
        <w:jc w:val="both"/>
        <w:textAlignment w:val="center"/>
        <w:rPr>
          <w:rFonts w:ascii="Cambria" w:hAnsi="Cambria"/>
          <w:color w:val="000000"/>
          <w:spacing w:val="-2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A50A1D" w:rsidRPr="00A437AF" w14:paraId="30DEAEE1" w14:textId="77777777" w:rsidTr="00EB2A84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19671" w14:textId="77777777" w:rsidR="00A50A1D" w:rsidRPr="00993DA7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993DA7">
              <w:rPr>
                <w:rFonts w:ascii="Cambria" w:hAnsi="Cambria"/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574D1" w14:textId="77777777" w:rsidR="00A50A1D" w:rsidRPr="00A437AF" w:rsidRDefault="00A50A1D" w:rsidP="00A50A1D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A437AF">
              <w:rPr>
                <w:rFonts w:ascii="Cambria" w:hAnsi="Cambria"/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F7B3A" w14:textId="77777777" w:rsidR="00DC33F6" w:rsidRPr="007F5C0C" w:rsidRDefault="00DC33F6" w:rsidP="00DC33F6">
            <w:pPr>
              <w:autoSpaceDE w:val="0"/>
              <w:jc w:val="center"/>
              <w:textAlignment w:val="center"/>
              <w:rPr>
                <w:rFonts w:ascii="Cambria" w:hAnsi="Cambria"/>
                <w:b/>
                <w:caps/>
                <w:color w:val="FF0000"/>
                <w:kern w:val="24"/>
              </w:rPr>
            </w:pPr>
            <w:r>
              <w:rPr>
                <w:rFonts w:ascii="Cambria" w:hAnsi="Cambria"/>
                <w:b/>
                <w:caps/>
                <w:kern w:val="24"/>
              </w:rPr>
              <w:t>CONTENUTI ESSENZIALI</w:t>
            </w:r>
          </w:p>
          <w:p w14:paraId="257718F1" w14:textId="77777777" w:rsidR="00A50A1D" w:rsidRPr="00993DA7" w:rsidRDefault="00D03E11" w:rsidP="00A50A1D">
            <w:pPr>
              <w:numPr>
                <w:ilvl w:val="0"/>
                <w:numId w:val="3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274295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274295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Pr="00274295">
              <w:rPr>
                <w:bCs/>
                <w:i/>
                <w:i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</w:t>
            </w:r>
            <w:proofErr w:type="spellStart"/>
            <w:r>
              <w:rPr>
                <w:bCs/>
                <w:kern w:val="24"/>
                <w:sz w:val="20"/>
              </w:rPr>
              <w:t>https</w:t>
            </w:r>
            <w:proofErr w:type="spellEnd"/>
            <w:r>
              <w:rPr>
                <w:bCs/>
                <w:kern w:val="24"/>
                <w:sz w:val="20"/>
              </w:rPr>
              <w:t>://www.pearson.it/</w:t>
            </w:r>
            <w:proofErr w:type="spellStart"/>
            <w:r>
              <w:rPr>
                <w:bCs/>
                <w:kern w:val="24"/>
                <w:sz w:val="20"/>
              </w:rPr>
              <w:t>place</w:t>
            </w:r>
            <w:proofErr w:type="spellEnd"/>
            <w:r>
              <w:rPr>
                <w:bCs/>
                <w:kern w:val="24"/>
                <w:sz w:val="20"/>
              </w:rPr>
              <w:t>), seleziona il titolo nella sezione PRODOTTI 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61E5D" w14:textId="77777777" w:rsidR="00EB2A84" w:rsidRPr="007F5C0C" w:rsidRDefault="00EB2A84" w:rsidP="00EB2A84">
            <w:pPr>
              <w:autoSpaceDE w:val="0"/>
              <w:jc w:val="center"/>
              <w:textAlignment w:val="center"/>
              <w:rPr>
                <w:rFonts w:ascii="Cambria" w:hAnsi="Cambria"/>
                <w:b/>
                <w:kern w:val="24"/>
              </w:rPr>
            </w:pPr>
            <w:r w:rsidRPr="007F5C0C">
              <w:rPr>
                <w:rFonts w:ascii="Cambria" w:hAnsi="Cambria"/>
                <w:b/>
                <w:kern w:val="24"/>
              </w:rPr>
              <w:t>METODOLOGIA e STRUMENTI DIDATTICI</w:t>
            </w:r>
          </w:p>
          <w:p w14:paraId="6FA7A3EF" w14:textId="77777777" w:rsidR="00EB2A84" w:rsidRPr="00BA4CC4" w:rsidRDefault="00EB2A84" w:rsidP="00EB2A84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le risorse specifiche del tuo manuale Pearson eventualmente in adozione,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>dopo aver effettuato l’accesso (</w:t>
            </w:r>
            <w:hyperlink r:id="rId17" w:tgtFrame="_blank" w:tooltip="https://www.pearson.it/place" w:history="1">
              <w:r w:rsidRPr="00C36474">
                <w:rPr>
                  <w:rFonts w:ascii="Cambria" w:hAnsi="Cambria"/>
                  <w:bCs/>
                  <w:kern w:val="24"/>
                  <w:sz w:val="20"/>
                  <w:szCs w:val="20"/>
                </w:rPr>
                <w:t>https://www.pearson.it/place</w:t>
              </w:r>
            </w:hyperlink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C3647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il titolo nella sezione Prodotti di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My 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Place</w:t>
            </w:r>
            <w:proofErr w:type="spellEnd"/>
          </w:p>
          <w:p w14:paraId="0D48F2FA" w14:textId="77777777" w:rsidR="00EB2A84" w:rsidRPr="00BA4CC4" w:rsidRDefault="00EB2A84" w:rsidP="00EB2A84">
            <w:pPr>
              <w:numPr>
                <w:ilvl w:val="0"/>
                <w:numId w:val="2"/>
              </w:numPr>
              <w:shd w:val="clear" w:color="auto" w:fill="FFFFFF"/>
              <w:ind w:right="276"/>
              <w:rPr>
                <w:rFonts w:ascii="Cambria" w:hAnsi="Cambria"/>
                <w:bCs/>
                <w:kern w:val="24"/>
                <w:sz w:val="20"/>
                <w:szCs w:val="20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per ulteriori materiali digitali, scopri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piattaforma 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KmZero</w:t>
            </w:r>
            <w:proofErr w:type="spellEnd"/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18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https://it.pearson.com/kmzero</w:t>
              </w:r>
            </w:hyperlink>
          </w:p>
          <w:p w14:paraId="54252A90" w14:textId="429E0AB5" w:rsidR="00A50A1D" w:rsidRPr="00993DA7" w:rsidRDefault="00EB2A84" w:rsidP="00EB2A84">
            <w:pPr>
              <w:numPr>
                <w:ilvl w:val="0"/>
                <w:numId w:val="2"/>
              </w:numPr>
              <w:autoSpaceDE w:val="0"/>
              <w:textAlignment w:val="center"/>
              <w:rPr>
                <w:rFonts w:ascii="Cambria" w:hAnsi="Cambria"/>
                <w:b/>
                <w:caps/>
                <w:color w:val="000000"/>
                <w:kern w:val="24"/>
              </w:rPr>
            </w:pP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per risorse sulla formazione 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br/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e sull’aggiornamento didattico, puoi consultare il calendario dei prossimi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webinar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Pearso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n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19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https://www.pearson.it/webinar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 richiedere l’accesso alla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Education</w:t>
            </w:r>
            <w:proofErr w:type="spellEnd"/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Library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(</w:t>
            </w:r>
            <w:hyperlink r:id="rId20" w:tgtFrame="_blank" w:history="1">
              <w:r w:rsidRPr="00BA4CC4">
                <w:rPr>
                  <w:bCs/>
                  <w:kern w:val="24"/>
                  <w:sz w:val="20"/>
                  <w:szCs w:val="20"/>
                </w:rPr>
                <w:t>https://www.pearson.it/pel</w:t>
              </w:r>
            </w:hyperlink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),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oppure visitare la sezione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r w:rsidRPr="00BA4CC4">
              <w:rPr>
                <w:rFonts w:ascii="Cambria" w:hAnsi="Cambria"/>
                <w:bCs/>
                <w:kern w:val="24"/>
                <w:sz w:val="20"/>
                <w:szCs w:val="20"/>
              </w:rPr>
              <w:t>Pearson Academy</w:t>
            </w:r>
            <w:r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</w:t>
            </w:r>
            <w:hyperlink r:id="rId21" w:history="1">
              <w:r w:rsidRPr="00EA4AA0">
                <w:rPr>
                  <w:rStyle w:val="Collegamentoipertestuale"/>
                  <w:bCs/>
                  <w:kern w:val="24"/>
                  <w:sz w:val="20"/>
                  <w:szCs w:val="20"/>
                </w:rPr>
                <w:t>https://it.pearson.com/pearson-academy.html</w:t>
              </w:r>
            </w:hyperlink>
          </w:p>
        </w:tc>
      </w:tr>
      <w:tr w:rsidR="00A437AF" w:rsidRPr="00A437AF" w14:paraId="130E7AA5" w14:textId="77777777" w:rsidTr="00A50A1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7BC09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>COMPETENZE DELL’ASSE STORICO-SOCIALE</w:t>
            </w:r>
          </w:p>
          <w:p w14:paraId="7A259E5A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1038D0EB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6EB38256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Orientarsi nel tessuto produttivo del proprio territorio.</w:t>
            </w:r>
          </w:p>
          <w:p w14:paraId="779C1B91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</w:p>
          <w:p w14:paraId="3ADA9378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Cambria" w:hAnsi="Cambria" w:cs="Cambria"/>
                <w:b/>
                <w:bCs/>
              </w:rPr>
            </w:pPr>
            <w:r w:rsidRPr="00993DA7">
              <w:rPr>
                <w:rFonts w:ascii="Cambria" w:eastAsia="Cambria" w:hAnsi="Cambria" w:cs="Cambria"/>
                <w:b/>
                <w:bCs/>
              </w:rPr>
              <w:t>COMPETENZE GEOGRAFICHE DI BASE</w:t>
            </w:r>
          </w:p>
          <w:p w14:paraId="6E583DEE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14:paraId="4A4CBD69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651039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14:paraId="7D0B38FC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Conoscere e utilizzare il lessico geografico</w:t>
            </w:r>
          </w:p>
          <w:p w14:paraId="32962591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452BF5A1" w14:textId="77777777" w:rsidR="00A437AF" w:rsidRPr="00993DA7" w:rsidRDefault="00A437AF" w:rsidP="00A437AF">
            <w:pPr>
              <w:numPr>
                <w:ilvl w:val="0"/>
                <w:numId w:val="5"/>
              </w:numPr>
              <w:suppressAutoHyphens/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  <w:t>Analizzare e rappresentare dati</w:t>
            </w:r>
          </w:p>
          <w:p w14:paraId="427B060B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4A3A4B3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t xml:space="preserve">COMPETENZE CHIAVE </w:t>
            </w:r>
            <w:r w:rsidR="00651039">
              <w:rPr>
                <w:rFonts w:ascii="Cambria" w:hAnsi="Cambria"/>
                <w:b/>
                <w:bCs/>
              </w:rPr>
              <w:br/>
            </w:r>
            <w:r w:rsidRPr="00993DA7">
              <w:rPr>
                <w:rFonts w:ascii="Cambria" w:hAnsi="Cambria"/>
                <w:b/>
                <w:bCs/>
              </w:rPr>
              <w:t>DI CITTADINANZA</w:t>
            </w:r>
          </w:p>
          <w:p w14:paraId="14F20C32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4CA913D" w14:textId="77777777" w:rsidR="00A437AF" w:rsidRPr="00993DA7" w:rsidRDefault="00A437AF" w:rsidP="00A437AF">
            <w:pPr>
              <w:pStyle w:val="Paragrafoelenco"/>
              <w:autoSpaceDE w:val="0"/>
              <w:autoSpaceDN w:val="0"/>
              <w:adjustRightInd w:val="0"/>
              <w:ind w:left="170"/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32980C" w14:textId="77777777" w:rsidR="00A437AF" w:rsidRPr="00993DA7" w:rsidRDefault="00A437AF" w:rsidP="00A437AF">
            <w:pPr>
              <w:tabs>
                <w:tab w:val="left" w:pos="227"/>
              </w:tabs>
              <w:autoSpaceDE w:val="0"/>
              <w:textAlignment w:val="center"/>
              <w:rPr>
                <w:rFonts w:ascii="Cambria" w:hAnsi="Cambria"/>
                <w:b/>
                <w:bCs/>
              </w:rPr>
            </w:pPr>
            <w:r w:rsidRPr="00993DA7">
              <w:rPr>
                <w:rFonts w:ascii="Cambria" w:hAnsi="Cambria"/>
                <w:b/>
                <w:bCs/>
              </w:rPr>
              <w:lastRenderedPageBreak/>
              <w:t>COMPETENZE CHIAVE EUROPEE</w:t>
            </w:r>
          </w:p>
          <w:p w14:paraId="51FFB164" w14:textId="77777777" w:rsidR="00A437AF" w:rsidRPr="00993DA7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993DA7">
              <w:rPr>
                <w:rFonts w:ascii="Cambria" w:eastAsia="DINPro-Medium" w:hAnsi="Cambria" w:cs="DINPro-Medium"/>
                <w:bCs/>
                <w:color w:val="000000"/>
                <w:spacing w:val="-2"/>
                <w:w w:val="95"/>
                <w:kern w:val="2"/>
                <w:lang w:eastAsia="en-US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52989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Collocare nello spazio l’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Asia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14:paraId="4D574F4D" w14:textId="77777777" w:rsidR="00BF4124" w:rsidRPr="00E9634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asiatica e le principali dinamiche demografiche</w:t>
            </w:r>
          </w:p>
          <w:p w14:paraId="298A1158" w14:textId="77777777" w:rsidR="00E96344" w:rsidRPr="00E96344" w:rsidRDefault="00E9634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Definire i concetti di “Estremo/Medio Oriente”, “Sud-Est asiatico”, “Tigri asiatiche”</w:t>
            </w:r>
          </w:p>
          <w:p w14:paraId="30C824AD" w14:textId="77777777"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Problematizzare i motivi per cui il Medio Oriente è fra le zone calde del pianeta</w:t>
            </w:r>
          </w:p>
          <w:p w14:paraId="0933D42C" w14:textId="77777777" w:rsidR="00A437AF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Comprendere l’origine del divario economico fra alcuni stati dell’Estremo Oriente e gli altri </w:t>
            </w:r>
            <w:r w:rsid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paesi 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del continente</w:t>
            </w:r>
          </w:p>
          <w:p w14:paraId="245F4EDD" w14:textId="77777777" w:rsidR="00BF4124" w:rsidRPr="00A437AF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asiatici, analizzando criticamente gli aspetti problematici</w:t>
            </w:r>
          </w:p>
          <w:p w14:paraId="77613492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Africa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14:paraId="672ABF65" w14:textId="77777777" w:rsidR="00BF4124" w:rsidRPr="00A437AF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africana e le principali dinamiche demografiche</w:t>
            </w:r>
          </w:p>
          <w:p w14:paraId="6DFD775B" w14:textId="77777777"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Definire i concetti di “Maghreb”</w:t>
            </w:r>
            <w:r w:rsidR="008A7C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“</w:t>
            </w: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Mashreq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”</w:t>
            </w:r>
            <w:r w:rsidR="008A7C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. “Nord Africa”, “Africa subsahariana”, “Africa australe”</w:t>
            </w:r>
          </w:p>
          <w:p w14:paraId="2FD8CCF4" w14:textId="77777777" w:rsidR="00A437AF" w:rsidRPr="005D2F7A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Comprendere le cause delle guerre civili scoppiate in Africa 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dopo la decolonizzazione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lo scopo </w:t>
            </w:r>
            <w:r w:rsid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degli</w:t>
            </w:r>
            <w:r w:rsidRPr="005D2F7A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organismi sovranazionali africani</w:t>
            </w:r>
          </w:p>
          <w:p w14:paraId="2B3B7FE3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Sintetizzare le caratteristiche fisiche, politiche, demografiche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,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sociali ed economiche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principali stati africani, analizzando criticamente gli aspetti problematici</w:t>
            </w:r>
          </w:p>
          <w:p w14:paraId="24A5F9BD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America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le sue macroregioni fisiche e politiche, 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14:paraId="0E6A8C13" w14:textId="77777777" w:rsidR="00BF4124" w:rsidRP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americana e le principali dinamiche demografiche</w:t>
            </w:r>
          </w:p>
          <w:p w14:paraId="288C6229" w14:textId="77777777" w:rsidR="00BF4124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Definire i concetti di “Nord America”, “Sud America”, </w:t>
            </w:r>
            <w:r w:rsidR="00BF4124"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“Centro America”,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“America anglosassone”, “America latina”, “afro-americani”, “amerindi”, “nativi”</w:t>
            </w:r>
          </w:p>
          <w:p w14:paraId="2C9E8DA5" w14:textId="77777777"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Problematizzare il diverso esito politico seguito all’indipendenza nel Nord e nel Sud America</w:t>
            </w:r>
          </w:p>
          <w:p w14:paraId="59ACC91C" w14:textId="77777777" w:rsidR="00BF4124" w:rsidRDefault="00BF4124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Sintetizzare le caratteristiche fisiche, politiche, demografiche, sociali ed economiche dei principali stati americani,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analizzando criticamente gli aspetti problematici</w:t>
            </w:r>
          </w:p>
          <w:p w14:paraId="54AC0CAA" w14:textId="77777777" w:rsidR="005D2F7A" w:rsidRPr="00BF4124" w:rsidRDefault="005D2F7A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Collocare nello spazio l’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Oceania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rispetto agli altri continenti,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le isole e arcipelaghi maggiori, 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i principali elementi </w:t>
            </w:r>
            <w:r w:rsidR="00E9634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morfologici</w:t>
            </w: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 distribuzione dei climi</w:t>
            </w:r>
          </w:p>
          <w:p w14:paraId="676EB943" w14:textId="77777777" w:rsidR="005D2F7A" w:rsidRPr="00BF4124" w:rsidRDefault="005D2F7A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Analizzare la distribuzione della popolazione dell’Oceania e le principali dinamiche demografiche</w:t>
            </w:r>
          </w:p>
          <w:p w14:paraId="1DC62193" w14:textId="77777777" w:rsidR="00A437AF" w:rsidRPr="00BF412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Definire i concetti di “culture autoctone”, “aborigeni”, “Pacific </w:t>
            </w:r>
            <w:proofErr w:type="spellStart"/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Rim</w:t>
            </w:r>
            <w:proofErr w:type="spellEnd"/>
            <w:r w:rsidRPr="00BF412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”</w:t>
            </w:r>
          </w:p>
          <w:p w14:paraId="5502BCE6" w14:textId="77777777" w:rsidR="00A437AF" w:rsidRPr="00A437AF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il ruolo unificante del Pacifico per l’Oceania sotto l’aspetto fisico e culturale</w:t>
            </w:r>
          </w:p>
          <w:p w14:paraId="65159BBE" w14:textId="77777777" w:rsidR="00A437AF" w:rsidRPr="00BC0D64" w:rsidRDefault="00A437AF" w:rsidP="00BB4B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Comprendere i problemi ambientali della maggior parte degli stati dell’Oceania</w:t>
            </w:r>
            <w:r w:rsid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lo </w:t>
            </w:r>
            <w:r w:rsidR="00BF4124"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sviluppo di Australia e Nuova Zelanda a fronte</w:t>
            </w:r>
            <w:r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della fragilità </w:t>
            </w:r>
            <w:r w:rsid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economica </w:t>
            </w:r>
            <w:r w:rsidRPr="00BC0D64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dei piccoli stati insulari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4C036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lastRenderedPageBreak/>
              <w:t>Asia: quadro fisico, politico, demografico ed economico</w:t>
            </w:r>
          </w:p>
          <w:p w14:paraId="164E9895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Africa: quadro fisico, politico, demografico ed economico</w:t>
            </w:r>
          </w:p>
          <w:p w14:paraId="6040521C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America: quadro fisico, politico, demografico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ed economico</w:t>
            </w:r>
          </w:p>
          <w:p w14:paraId="1E9AEF0A" w14:textId="77777777" w:rsidR="00A437AF" w:rsidRPr="00A437AF" w:rsidRDefault="00A437AF" w:rsidP="00322CE3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Oceania: quadro fisico, politico, demografico </w:t>
            </w:r>
            <w:r w:rsidR="00D33042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br/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ed economico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11791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81F3B6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Libri di testo</w:t>
            </w:r>
          </w:p>
          <w:p w14:paraId="3C6F6562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18913965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16539489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1F761221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0FA244F9" w14:textId="77777777" w:rsidR="00A437AF" w:rsidRPr="00A437AF" w:rsidRDefault="00A437AF" w:rsidP="00A437AF">
            <w:pPr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</w:p>
          <w:p w14:paraId="5F3CB4C9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t>Interrogazioni e test progressivi</w:t>
            </w:r>
          </w:p>
          <w:p w14:paraId="36F062EE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  <w:lang w:eastAsia="hi-IN" w:bidi="hi-IN"/>
              </w:rPr>
              <w:lastRenderedPageBreak/>
              <w:t>Assegnazioni di esercizi sui singoli argomenti/autori</w:t>
            </w:r>
          </w:p>
          <w:p w14:paraId="3F100B1E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E56F3D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DDI</w:t>
            </w: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14:paraId="658762C0" w14:textId="77777777" w:rsidR="00A437AF" w:rsidRPr="00A437AF" w:rsidRDefault="00A437AF" w:rsidP="00A437AF">
            <w:pPr>
              <w:numPr>
                <w:ilvl w:val="0"/>
                <w:numId w:val="1"/>
              </w:numP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15E44C53" w14:textId="77777777" w:rsidR="00A437AF" w:rsidRPr="00A437AF" w:rsidRDefault="00A437AF" w:rsidP="00A437A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mbria" w:eastAsia="DINPro-Medium" w:hAnsi="Cambria" w:cs="DINPro-Medium"/>
                <w:b/>
                <w:spacing w:val="-2"/>
                <w:w w:val="95"/>
                <w:kern w:val="2"/>
              </w:rPr>
            </w:pPr>
          </w:p>
          <w:p w14:paraId="7250C731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MATERIALI DIGITALI </w:t>
            </w:r>
            <w:r w:rsidR="00651039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br/>
            </w: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 xml:space="preserve">E MULTIMEDIALI </w:t>
            </w:r>
          </w:p>
          <w:p w14:paraId="1FF6A81A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549BA651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72484618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59B5EA4C" w14:textId="77777777" w:rsidR="00A437AF" w:rsidRPr="00A437AF" w:rsidRDefault="00A437AF" w:rsidP="00A437AF">
            <w:pPr>
              <w:pStyle w:val="Stiletabella2"/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</w:pPr>
            <w:r w:rsidRPr="00A437AF">
              <w:rPr>
                <w:rFonts w:ascii="Cambria" w:hAnsi="Cambria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2EA4EE2" w14:textId="77777777" w:rsidR="00A437AF" w:rsidRPr="00A437AF" w:rsidRDefault="00A437AF" w:rsidP="00A437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textAlignment w:val="baseline"/>
              <w:rPr>
                <w:rFonts w:ascii="Cambria" w:eastAsia="Arial Unicode MS" w:hAnsi="Cambria" w:cs="Calibri"/>
                <w:kern w:val="1"/>
              </w:rPr>
            </w:pPr>
            <w:r w:rsidRPr="00A437AF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Esercizi e Verifiche interattive</w:t>
            </w:r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 xml:space="preserve"> e/o </w:t>
            </w:r>
            <w:proofErr w:type="spellStart"/>
            <w:r w:rsidR="003859B8">
              <w:rPr>
                <w:rFonts w:ascii="Cambria" w:eastAsia="DINPro-Regular" w:hAnsi="Cambria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61E115CE" w14:textId="77777777" w:rsidR="00A437AF" w:rsidRPr="00A437AF" w:rsidRDefault="00A437AF" w:rsidP="00A437AF">
            <w:pPr>
              <w:pStyle w:val="Stiletabella2"/>
              <w:rPr>
                <w:rFonts w:ascii="Cambria" w:eastAsia="Arial Unicode MS" w:hAnsi="Cambria" w:cs="Calibri"/>
                <w:color w:val="auto"/>
                <w:sz w:val="24"/>
                <w:szCs w:val="24"/>
              </w:rPr>
            </w:pPr>
          </w:p>
        </w:tc>
      </w:tr>
    </w:tbl>
    <w:p w14:paraId="2D83DA9E" w14:textId="77777777" w:rsidR="00D476DC" w:rsidRPr="00A437AF" w:rsidRDefault="00D476DC">
      <w:pPr>
        <w:rPr>
          <w:rFonts w:ascii="Cambria" w:hAnsi="Cambria"/>
        </w:rPr>
      </w:pPr>
    </w:p>
    <w:sectPr w:rsidR="00D476DC" w:rsidRPr="00A437AF" w:rsidSect="00651039">
      <w:footerReference w:type="default" r:id="rId22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0772" w14:textId="77777777" w:rsidR="0054488E" w:rsidRDefault="0054488E" w:rsidP="00A437AF">
      <w:r>
        <w:separator/>
      </w:r>
    </w:p>
  </w:endnote>
  <w:endnote w:type="continuationSeparator" w:id="0">
    <w:p w14:paraId="27506812" w14:textId="77777777" w:rsidR="0054488E" w:rsidRDefault="0054488E" w:rsidP="00A4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4480" w14:textId="77777777" w:rsidR="00A437AF" w:rsidRDefault="00A437AF" w:rsidP="00A437AF">
    <w:pPr>
      <w:pStyle w:val="Pidipagina"/>
      <w:ind w:right="360"/>
    </w:pPr>
  </w:p>
  <w:p w14:paraId="50B693F4" w14:textId="77777777" w:rsidR="00A437AF" w:rsidRPr="003764AD" w:rsidRDefault="00A437AF" w:rsidP="00A437AF">
    <w:pPr>
      <w:pStyle w:val="Pidipagina"/>
      <w:ind w:right="360"/>
      <w:rPr>
        <w:rFonts w:ascii="Cambria" w:hAnsi="Cambria"/>
        <w:lang w:val="en-US"/>
      </w:rPr>
    </w:pPr>
    <w:r w:rsidRPr="003764AD">
      <w:rPr>
        <w:rFonts w:ascii="Cambria" w:hAnsi="Cambria"/>
        <w:lang w:val="en-US"/>
      </w:rPr>
      <w:t>© Pearson Italia S.p.A.</w:t>
    </w:r>
  </w:p>
  <w:p w14:paraId="0756CCFD" w14:textId="77777777" w:rsidR="00A437AF" w:rsidRPr="00F75FCD" w:rsidRDefault="00A437AF" w:rsidP="00A437A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20EF" w14:textId="77777777" w:rsidR="0054488E" w:rsidRDefault="0054488E" w:rsidP="00A437AF">
      <w:r>
        <w:separator/>
      </w:r>
    </w:p>
  </w:footnote>
  <w:footnote w:type="continuationSeparator" w:id="0">
    <w:p w14:paraId="709FFDB9" w14:textId="77777777" w:rsidR="0054488E" w:rsidRDefault="0054488E" w:rsidP="00A4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8B6"/>
    <w:multiLevelType w:val="hybridMultilevel"/>
    <w:tmpl w:val="1C068A14"/>
    <w:lvl w:ilvl="0" w:tplc="516288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8C2"/>
    <w:multiLevelType w:val="hybridMultilevel"/>
    <w:tmpl w:val="66D4619A"/>
    <w:lvl w:ilvl="0" w:tplc="15747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642"/>
    <w:multiLevelType w:val="hybridMultilevel"/>
    <w:tmpl w:val="337C99E6"/>
    <w:lvl w:ilvl="0" w:tplc="15AA881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8DB"/>
    <w:multiLevelType w:val="hybridMultilevel"/>
    <w:tmpl w:val="D56E925E"/>
    <w:lvl w:ilvl="0" w:tplc="4162B2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06AA9D2">
      <w:numFmt w:val="bullet"/>
      <w:lvlText w:val="•"/>
      <w:lvlJc w:val="left"/>
      <w:pPr>
        <w:ind w:left="1440" w:hanging="360"/>
      </w:pPr>
      <w:rPr>
        <w:rFonts w:ascii="Cambria" w:eastAsia="DINPro-Medium" w:hAnsi="Cambria" w:cs="DINPro-Medium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72B6"/>
    <w:multiLevelType w:val="hybridMultilevel"/>
    <w:tmpl w:val="F88E123C"/>
    <w:lvl w:ilvl="0" w:tplc="1A06C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881"/>
    <w:multiLevelType w:val="hybridMultilevel"/>
    <w:tmpl w:val="FAAA137E"/>
    <w:lvl w:ilvl="0" w:tplc="D90C5AD8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ambria" w:hAnsi="Cambria" w:hint="default"/>
        <w:color w:val="auto"/>
      </w:rPr>
    </w:lvl>
    <w:lvl w:ilvl="1" w:tplc="9EAEF9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8AA"/>
    <w:multiLevelType w:val="hybridMultilevel"/>
    <w:tmpl w:val="19C286E8"/>
    <w:lvl w:ilvl="0" w:tplc="89B66CA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2BF"/>
    <w:multiLevelType w:val="hybridMultilevel"/>
    <w:tmpl w:val="5D6EC70C"/>
    <w:lvl w:ilvl="0" w:tplc="97F65D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EAE646A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ambria" w:eastAsia="DINPro-Medium" w:hAnsi="Cambria" w:cs="DINPro-Medium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3D2B"/>
    <w:multiLevelType w:val="hybridMultilevel"/>
    <w:tmpl w:val="9FE22982"/>
    <w:lvl w:ilvl="0" w:tplc="B27016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5"/>
    <w:rsid w:val="000218EC"/>
    <w:rsid w:val="00074A95"/>
    <w:rsid w:val="000C0DFA"/>
    <w:rsid w:val="000D002B"/>
    <w:rsid w:val="00124FBD"/>
    <w:rsid w:val="001E067A"/>
    <w:rsid w:val="00322CE3"/>
    <w:rsid w:val="003859B8"/>
    <w:rsid w:val="00432B65"/>
    <w:rsid w:val="0054488E"/>
    <w:rsid w:val="005D2F7A"/>
    <w:rsid w:val="005D510D"/>
    <w:rsid w:val="005E41BE"/>
    <w:rsid w:val="00602911"/>
    <w:rsid w:val="006271BD"/>
    <w:rsid w:val="00651039"/>
    <w:rsid w:val="00656929"/>
    <w:rsid w:val="007C6E4C"/>
    <w:rsid w:val="007E0FEF"/>
    <w:rsid w:val="007E3C95"/>
    <w:rsid w:val="0084381E"/>
    <w:rsid w:val="008447A7"/>
    <w:rsid w:val="008A7CAF"/>
    <w:rsid w:val="00901174"/>
    <w:rsid w:val="009062E6"/>
    <w:rsid w:val="009E3F44"/>
    <w:rsid w:val="00A16D3F"/>
    <w:rsid w:val="00A437AF"/>
    <w:rsid w:val="00A50A1D"/>
    <w:rsid w:val="00A717CD"/>
    <w:rsid w:val="00A72397"/>
    <w:rsid w:val="00B827D2"/>
    <w:rsid w:val="00B836B8"/>
    <w:rsid w:val="00BA3A43"/>
    <w:rsid w:val="00BB4B8B"/>
    <w:rsid w:val="00BC0D64"/>
    <w:rsid w:val="00BF4124"/>
    <w:rsid w:val="00C84AF1"/>
    <w:rsid w:val="00D03E11"/>
    <w:rsid w:val="00D33042"/>
    <w:rsid w:val="00D41C4C"/>
    <w:rsid w:val="00D476DC"/>
    <w:rsid w:val="00D7762D"/>
    <w:rsid w:val="00D93868"/>
    <w:rsid w:val="00DC33F6"/>
    <w:rsid w:val="00DD217B"/>
    <w:rsid w:val="00DE5E41"/>
    <w:rsid w:val="00E324F7"/>
    <w:rsid w:val="00E56F3D"/>
    <w:rsid w:val="00E96344"/>
    <w:rsid w:val="00E97E5D"/>
    <w:rsid w:val="00EB2A84"/>
    <w:rsid w:val="00EB3A77"/>
    <w:rsid w:val="00EC33EC"/>
    <w:rsid w:val="00F523F5"/>
    <w:rsid w:val="00F75FCD"/>
    <w:rsid w:val="00F8040F"/>
    <w:rsid w:val="00FB1068"/>
    <w:rsid w:val="00FB1C15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B56F9"/>
  <w15:chartTrackingRefBased/>
  <w15:docId w15:val="{D0F25221-2A9F-A746-8BA8-B1BBE87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A9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074A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074A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E4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E4C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37A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7A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37A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7AF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A4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pearson.com/kmzero" TargetMode="External"/><Relationship Id="rId13" Type="http://schemas.openxmlformats.org/officeDocument/2006/relationships/hyperlink" Target="https://it.pearson.com/kmzero" TargetMode="External"/><Relationship Id="rId18" Type="http://schemas.openxmlformats.org/officeDocument/2006/relationships/hyperlink" Target="https://it.pearson.com/kmz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pearson-academy.html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0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pearson-academy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19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14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</cp:lastModifiedBy>
  <cp:revision>29</cp:revision>
  <dcterms:created xsi:type="dcterms:W3CDTF">2020-07-13T11:12:00Z</dcterms:created>
  <dcterms:modified xsi:type="dcterms:W3CDTF">2021-09-29T19:16:00Z</dcterms:modified>
</cp:coreProperties>
</file>