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C67" w:rsidRDefault="00623C67" w:rsidP="00F048D5">
      <w:pPr>
        <w:pStyle w:val="0INTRODOCENTE"/>
        <w:jc w:val="both"/>
      </w:pPr>
      <w:r>
        <w:t xml:space="preserve">Giovanni Bonaiuti è ricercatore in didattica generale e pedagogia speciale presso la Facoltà di Scienze della formazione dell’Università di Cagliari. Si occupa in particolare di tecnologie per l’insegnamento e l’apprendimento. Pubblicazioni più recenti: </w:t>
      </w:r>
      <w:r>
        <w:rPr>
          <w:rFonts w:ascii="HelveticaNeue-LightCondObl" w:hAnsi="HelveticaNeue-LightCondObl" w:cs="HelveticaNeue-LightCondObl"/>
          <w:i/>
          <w:iCs/>
        </w:rPr>
        <w:t>Principi di comunicazione visiva e multimediale. Fare didattica con le immagini</w:t>
      </w:r>
      <w:r>
        <w:t xml:space="preserve">, Carocci, Roma 2011 (con Calvani, Fini, Landriscina); </w:t>
      </w:r>
      <w:r>
        <w:rPr>
          <w:rFonts w:ascii="HelveticaNeue-LightCondObl" w:hAnsi="HelveticaNeue-LightCondObl" w:cs="HelveticaNeue-LightCondObl"/>
          <w:i/>
          <w:iCs/>
        </w:rPr>
        <w:t>Didattica attiva con i video digitali</w:t>
      </w:r>
      <w:r>
        <w:t xml:space="preserve">, </w:t>
      </w:r>
      <w:r w:rsidR="00F048D5">
        <w:t>Erickson</w:t>
      </w:r>
      <w:r w:rsidR="00F048D5">
        <w:t xml:space="preserve"> , </w:t>
      </w:r>
      <w:bookmarkStart w:id="0" w:name="_GoBack"/>
      <w:bookmarkEnd w:id="0"/>
      <w:r>
        <w:t xml:space="preserve">Trento 2010; </w:t>
      </w:r>
      <w:r>
        <w:rPr>
          <w:rFonts w:ascii="HelveticaNeue-LightCondObl" w:hAnsi="HelveticaNeue-LightCondObl" w:cs="HelveticaNeue-LightCondObl"/>
          <w:i/>
          <w:iCs/>
        </w:rPr>
        <w:t>Didattica attiva con la LIM</w:t>
      </w:r>
      <w:r>
        <w:t>, Erickson, Trento 2009.</w:t>
      </w:r>
    </w:p>
    <w:p w:rsidR="00623C67" w:rsidRDefault="00623C67" w:rsidP="00F048D5">
      <w:pPr>
        <w:pStyle w:val="0INTRODOCENTE"/>
        <w:jc w:val="both"/>
      </w:pPr>
    </w:p>
    <w:p w:rsidR="00F048D5" w:rsidRDefault="00F048D5" w:rsidP="00F048D5">
      <w:pPr>
        <w:pStyle w:val="0INTRODOCENTE"/>
        <w:jc w:val="both"/>
      </w:pPr>
    </w:p>
    <w:p w:rsidR="00623C67" w:rsidRPr="00F048D5" w:rsidRDefault="00F048D5" w:rsidP="00F048D5">
      <w:pPr>
        <w:pStyle w:val="0INTRODOCENTE"/>
        <w:jc w:val="both"/>
        <w:rPr>
          <w:sz w:val="24"/>
          <w:szCs w:val="24"/>
        </w:rPr>
      </w:pPr>
      <w:r w:rsidRPr="00F048D5">
        <w:rPr>
          <w:sz w:val="24"/>
          <w:szCs w:val="24"/>
        </w:rPr>
        <w:t>Giovanni Bonaiuti</w:t>
      </w:r>
    </w:p>
    <w:p w:rsidR="00F048D5" w:rsidRDefault="00F048D5" w:rsidP="00F048D5">
      <w:pPr>
        <w:pStyle w:val="0INTRODOCENTE"/>
        <w:jc w:val="both"/>
      </w:pPr>
    </w:p>
    <w:p w:rsidR="00A67858" w:rsidRDefault="00623C67" w:rsidP="00F048D5">
      <w:pPr>
        <w:jc w:val="both"/>
        <w:rPr>
          <w:b/>
          <w:bCs/>
          <w:sz w:val="28"/>
          <w:szCs w:val="28"/>
        </w:rPr>
      </w:pPr>
      <w:r w:rsidRPr="00623C67">
        <w:rPr>
          <w:b/>
          <w:bCs/>
          <w:sz w:val="28"/>
          <w:szCs w:val="28"/>
        </w:rPr>
        <w:t>INSEGNARE CON LA LIM</w:t>
      </w:r>
    </w:p>
    <w:p w:rsidR="00623C67" w:rsidRPr="00623C67" w:rsidRDefault="00623C67" w:rsidP="00F048D5">
      <w:pPr>
        <w:jc w:val="both"/>
        <w:rPr>
          <w:b/>
          <w:bCs/>
          <w:sz w:val="28"/>
          <w:szCs w:val="28"/>
        </w:rPr>
      </w:pPr>
    </w:p>
    <w:p w:rsidR="00623C67" w:rsidRPr="00623C67" w:rsidRDefault="00623C67" w:rsidP="00F048D5">
      <w:pPr>
        <w:jc w:val="both"/>
        <w:rPr>
          <w:b/>
          <w:bCs/>
          <w:u w:val="single"/>
        </w:rPr>
      </w:pPr>
      <w:r w:rsidRPr="00623C67">
        <w:rPr>
          <w:b/>
          <w:bCs/>
          <w:u w:val="single"/>
        </w:rPr>
        <w:t>Quali sono gli “effetti” della LIM?</w:t>
      </w:r>
    </w:p>
    <w:p w:rsidR="00623C67" w:rsidRPr="00623C67" w:rsidRDefault="00623C67" w:rsidP="00F048D5">
      <w:pPr>
        <w:jc w:val="both"/>
      </w:pPr>
    </w:p>
    <w:p w:rsidR="00623C67" w:rsidRPr="00623C67" w:rsidRDefault="00623C67" w:rsidP="00F048D5">
      <w:pPr>
        <w:jc w:val="both"/>
      </w:pPr>
      <w:r w:rsidRPr="00623C67">
        <w:t>La Lavagna Interattiva Multimediale (LIM) è ormai presente in molte scuole italiane. La sua diffusione, considerevole nella scuola primaria e secondaria di primo grado, sta progressivamente raggiungendo le scuole secondarie di secondo grado.</w:t>
      </w:r>
    </w:p>
    <w:p w:rsidR="00623C67" w:rsidRPr="00623C67" w:rsidRDefault="00623C67" w:rsidP="00F048D5">
      <w:pPr>
        <w:jc w:val="both"/>
      </w:pPr>
      <w:r w:rsidRPr="00623C67">
        <w:t>In Italia, così come in altri paesi, la diffusione della LIM è spesso accompagnata da discorsi enfatici e appassionati sulla sua capacità di innovare la didattica e di riconciliare (finalmente) le giovani generazioni con la scuola.</w:t>
      </w:r>
    </w:p>
    <w:p w:rsidR="00623C67" w:rsidRPr="00623C67" w:rsidRDefault="00623C67" w:rsidP="00F048D5">
      <w:pPr>
        <w:jc w:val="both"/>
      </w:pPr>
    </w:p>
    <w:p w:rsidR="00623C67" w:rsidRPr="00623C67" w:rsidRDefault="00623C67" w:rsidP="00F048D5">
      <w:pPr>
        <w:keepNext/>
        <w:jc w:val="both"/>
        <w:rPr>
          <w:b/>
          <w:bCs/>
        </w:rPr>
      </w:pPr>
      <w:r w:rsidRPr="00623C67">
        <w:rPr>
          <w:b/>
          <w:bCs/>
        </w:rPr>
        <w:t>Né apocalittici né integrati</w:t>
      </w:r>
    </w:p>
    <w:p w:rsidR="00623C67" w:rsidRPr="00623C67" w:rsidRDefault="00623C67" w:rsidP="00F048D5">
      <w:pPr>
        <w:keepNext/>
        <w:jc w:val="both"/>
      </w:pPr>
      <w:r w:rsidRPr="00623C67">
        <w:t xml:space="preserve">Secondo i suoi entusiastici sostenitori, la LIM sarebbe capace di coinvolgere magicamente gli studenti, i così detti “nativi digitali”, grazie alla naturale predisposizione di questi ultimi per le tecnologie e la comunicazione multimediale. Nei reportage, sui media, nei discorsi di qualche politico, premesse e promesse si intrecciano pericolosamente, tanto che sembrerebbe sufficiente la LIM e un pizzico di fantasia per dare a ogni insegnante l’opportunità di offrire esperienze di apprendimento efficienti e durature. </w:t>
      </w:r>
    </w:p>
    <w:p w:rsidR="00623C67" w:rsidRPr="00623C67" w:rsidRDefault="00623C67" w:rsidP="00F048D5">
      <w:pPr>
        <w:jc w:val="both"/>
      </w:pPr>
      <w:r w:rsidRPr="00623C67">
        <w:t xml:space="preserve">Chi è nella scuola da qualche anno sa bene che le cose non sono mai così semplici e che è necessario fare i conti non solo con le potenzialità assunte in astratto, ma anche con tutta una serie di criticità che accompagnano la pratica dei processi di innovazione. Emerge l’esigenza di affrontare con serietà la questione dell’uso delle nuove tecnologie, come pure del cambiamento nelle pratiche didattiche. A guardare bene, nel solito </w:t>
      </w:r>
      <w:r w:rsidRPr="00623C67">
        <w:rPr>
          <w:i/>
          <w:iCs/>
        </w:rPr>
        <w:t>refrain</w:t>
      </w:r>
      <w:r w:rsidRPr="00623C67">
        <w:t xml:space="preserve"> tra apocalittici e integrati, c’è un eccesso di partigianeria mista ad approssimazione da entrambe le parti.</w:t>
      </w:r>
    </w:p>
    <w:p w:rsidR="00623C67" w:rsidRPr="00623C67" w:rsidRDefault="00623C67" w:rsidP="00F048D5">
      <w:pPr>
        <w:jc w:val="both"/>
      </w:pPr>
    </w:p>
    <w:p w:rsidR="00623C67" w:rsidRPr="00623C67" w:rsidRDefault="00623C67" w:rsidP="00F048D5">
      <w:pPr>
        <w:keepNext/>
        <w:jc w:val="both"/>
        <w:rPr>
          <w:b/>
          <w:bCs/>
        </w:rPr>
      </w:pPr>
      <w:r w:rsidRPr="00623C67">
        <w:rPr>
          <w:b/>
          <w:bCs/>
        </w:rPr>
        <w:t xml:space="preserve">Che cosa sappiamo dell’uso della LIM? </w:t>
      </w:r>
    </w:p>
    <w:p w:rsidR="00623C67" w:rsidRPr="00623C67" w:rsidRDefault="00623C67" w:rsidP="00F048D5">
      <w:pPr>
        <w:keepNext/>
        <w:jc w:val="both"/>
      </w:pPr>
      <w:r w:rsidRPr="00623C67">
        <w:t xml:space="preserve">Chi si occupa di tecnologie didattiche sa bene che i risultati conseguenti alle diverse proposte di innovazione nella scuola (audiovisivi, multimedia, ipertesti, reti ecc.) non sono sempre stati quelli che le premesse avrebbero lasciato immaginare. Molte scuole edificate negli anni settanta hanno una presa televisiva in ogni aula, vicino alla lavagna, sicuramente mai utilizzata e tanti, troppi, oggetti “rivoluzionari” giacciono dimenticati nei magazzini e nei sottoscala di tante scuole: proiettori, lavagne luminose, giradischi, videoregistratori. In alcuni casi si è trattato di dispositivi complicati o troppo audaci per i tempi, in altri di tecnologie di cui gli insegnanti non hanno capito l’utilità o avvertito il bisogno. </w:t>
      </w:r>
    </w:p>
    <w:p w:rsidR="00623C67" w:rsidRPr="00623C67" w:rsidRDefault="00623C67" w:rsidP="00F048D5">
      <w:pPr>
        <w:jc w:val="both"/>
      </w:pPr>
      <w:r w:rsidRPr="00623C67">
        <w:t xml:space="preserve">La LIM rientra, molto probabilmente, nella categoria degli “strumenti giusti al momento giusto”, ma non per questo è immune dai rischi di un cattivo impiego. Molti altri oggetti avevano queste caratteristiche. È uno strumento giusto perché è relativamente facile da utilizzare, perché porta finalmente il computer in classe (invece di obbligare le classi a spostarsi nei laboratori) e, infine, perché si diffonde in un momento storico in cui grazie a Internet le risorse didattiche disponibili sono davvero molte. </w:t>
      </w:r>
    </w:p>
    <w:p w:rsidR="00623C67" w:rsidRPr="00623C67" w:rsidRDefault="00623C67" w:rsidP="00F048D5">
      <w:pPr>
        <w:jc w:val="both"/>
      </w:pPr>
      <w:r w:rsidRPr="00623C67">
        <w:t>I rischi del cattivo utilizzo sono però sempre in agguato: mancanza di assistenza tecnica, inadeguata custodia, scarsa formazione dei docenti, diffusione di modelli di impiego dispersivi, dispendiosi o poco pertinenti. Come evitare dunque un ennesimo insuccesso? Come trasformare le potenzialità in risultati concreti?</w:t>
      </w:r>
    </w:p>
    <w:p w:rsidR="00623C67" w:rsidRPr="00623C67" w:rsidRDefault="00623C67" w:rsidP="00F048D5">
      <w:pPr>
        <w:jc w:val="both"/>
      </w:pPr>
      <w:r w:rsidRPr="00623C67">
        <w:t xml:space="preserve"> </w:t>
      </w:r>
    </w:p>
    <w:p w:rsidR="00F048D5" w:rsidRDefault="00F048D5" w:rsidP="00F048D5">
      <w:pPr>
        <w:jc w:val="both"/>
        <w:rPr>
          <w:b/>
          <w:bCs/>
        </w:rPr>
      </w:pPr>
    </w:p>
    <w:p w:rsidR="00F048D5" w:rsidRDefault="00F048D5" w:rsidP="00F048D5">
      <w:pPr>
        <w:jc w:val="both"/>
        <w:rPr>
          <w:b/>
          <w:bCs/>
        </w:rPr>
      </w:pPr>
    </w:p>
    <w:p w:rsidR="00F048D5" w:rsidRDefault="00F048D5" w:rsidP="00F048D5">
      <w:pPr>
        <w:jc w:val="both"/>
        <w:rPr>
          <w:b/>
          <w:bCs/>
        </w:rPr>
      </w:pPr>
    </w:p>
    <w:p w:rsidR="00623C67" w:rsidRPr="00623C67" w:rsidRDefault="00623C67" w:rsidP="00F048D5">
      <w:pPr>
        <w:keepNext/>
        <w:jc w:val="both"/>
        <w:rPr>
          <w:b/>
          <w:bCs/>
        </w:rPr>
      </w:pPr>
      <w:r w:rsidRPr="00623C67">
        <w:rPr>
          <w:b/>
          <w:bCs/>
        </w:rPr>
        <w:t xml:space="preserve">Che cosa “funziona veramente”? </w:t>
      </w:r>
    </w:p>
    <w:p w:rsidR="00623C67" w:rsidRPr="00623C67" w:rsidRDefault="00623C67" w:rsidP="00F048D5">
      <w:pPr>
        <w:keepNext/>
        <w:jc w:val="both"/>
      </w:pPr>
      <w:r w:rsidRPr="00623C67">
        <w:t>Per rispondere a queste domande è utile partire dai dati forniti dalle esperienze e, soprattutto, dalle ricerche sperimentali svolte in questi anni</w:t>
      </w:r>
      <w:r w:rsidRPr="00623C67">
        <w:rPr>
          <w:vertAlign w:val="superscript"/>
        </w:rPr>
        <w:footnoteReference w:id="1"/>
      </w:r>
      <w:r w:rsidRPr="00623C67">
        <w:t xml:space="preserve">. La rassegna di questi lavori consente di comprendere alcune caratteristiche di questa tecnologia, come per esempio: il modo con cui questa è stata accolta e impiegata, i punti di forza, i vincoli e le principali criticità riscontrate. </w:t>
      </w:r>
    </w:p>
    <w:p w:rsidR="00623C67" w:rsidRPr="00623C67" w:rsidRDefault="00623C67" w:rsidP="00F048D5">
      <w:pPr>
        <w:jc w:val="both"/>
      </w:pPr>
      <w:r w:rsidRPr="00623C67">
        <w:t>Senza entrare nel dibattito, oggi molto acceso, sulla significatività e l’affidabilità delle “evidenze” fornite dalla ricerca in educazione, è indubbio che sia (quanto meno) auspicabile, anche in questo ambito, impostare i nuovi interventi a partire dal cosa sappiamo abbia avuto efficacia (il “</w:t>
      </w:r>
      <w:r w:rsidRPr="00623C67">
        <w:rPr>
          <w:i/>
          <w:iCs/>
        </w:rPr>
        <w:t>what really works</w:t>
      </w:r>
      <w:r w:rsidRPr="00623C67">
        <w:t xml:space="preserve">”), piuttosto che da visioni ideali e buoni auspici. Le singole ricerche, da sole, non sono sufficienti a chiarire in maniera decisiva le diverse questioni né sono in grado di suggerire come allestire nuovi interventi. Il loro scopo, infatti, non è quello di stilare linee guida e protocolli operativi. Tuttavia leggere globalmente questi lavori consente di farsi una idea piuttosto chiara dei contorni della questione. </w:t>
      </w:r>
    </w:p>
    <w:p w:rsidR="00623C67" w:rsidRPr="00623C67" w:rsidRDefault="00623C67" w:rsidP="00F048D5">
      <w:pPr>
        <w:jc w:val="both"/>
      </w:pPr>
      <w:r w:rsidRPr="00623C67">
        <w:t>Nel nostro caso, per esempio, è utile soffermarsi su tre punti: quello degli effetti della LIM sugli studenti, quello dell’accoglienza da parte dei docenti e, infine, quello relativo alle modalità di utilizzo in classe.</w:t>
      </w:r>
    </w:p>
    <w:p w:rsidR="00623C67" w:rsidRPr="00623C67" w:rsidRDefault="00623C67" w:rsidP="00F048D5">
      <w:pPr>
        <w:jc w:val="both"/>
      </w:pPr>
    </w:p>
    <w:p w:rsidR="00623C67" w:rsidRPr="00623C67" w:rsidRDefault="00623C67" w:rsidP="00F048D5">
      <w:pPr>
        <w:keepNext/>
        <w:jc w:val="both"/>
        <w:rPr>
          <w:b/>
          <w:bCs/>
        </w:rPr>
      </w:pPr>
      <w:r w:rsidRPr="00623C67">
        <w:rPr>
          <w:b/>
          <w:bCs/>
        </w:rPr>
        <w:t xml:space="preserve">Gli effetti sugli studenti </w:t>
      </w:r>
    </w:p>
    <w:p w:rsidR="00623C67" w:rsidRPr="00623C67" w:rsidRDefault="00623C67" w:rsidP="00F048D5">
      <w:pPr>
        <w:keepNext/>
        <w:jc w:val="both"/>
      </w:pPr>
      <w:r w:rsidRPr="00623C67">
        <w:t xml:space="preserve">Circa il primo punto, numerosi lavori documentano come effettivamente gli studenti risultino essere più coinvolti e motivati quando le LIM sono utilizzate (Miller, Glover e Averis, 2005; Smith </w:t>
      </w:r>
      <w:r w:rsidRPr="00623C67">
        <w:rPr>
          <w:i/>
          <w:iCs/>
        </w:rPr>
        <w:t>et al.</w:t>
      </w:r>
      <w:r w:rsidRPr="00623C67">
        <w:t xml:space="preserve">, 2006). In particolare si constata un aumento dell’attenzione e della partecipazione (Beeland, 2002; Lewin </w:t>
      </w:r>
      <w:r w:rsidRPr="00623C67">
        <w:rPr>
          <w:i/>
          <w:iCs/>
        </w:rPr>
        <w:t>et al.</w:t>
      </w:r>
      <w:r w:rsidRPr="00623C67">
        <w:t xml:space="preserve"> 2008), del piacere dell’apprendimento (Levy, 2002), dell’autostima (Somekh </w:t>
      </w:r>
      <w:r w:rsidRPr="00623C67">
        <w:rPr>
          <w:i/>
          <w:iCs/>
        </w:rPr>
        <w:t>et al.</w:t>
      </w:r>
      <w:r w:rsidRPr="00623C67">
        <w:t xml:space="preserve">, 2006), delle relazioni sociali attive (Wall </w:t>
      </w:r>
      <w:r w:rsidRPr="00623C67">
        <w:rPr>
          <w:i/>
          <w:iCs/>
        </w:rPr>
        <w:t>et al.</w:t>
      </w:r>
      <w:r w:rsidRPr="00623C67">
        <w:t xml:space="preserve">, 2005) e della disponibilità ad atteggiamenti collaborativi (Levy, 2002; Smith </w:t>
      </w:r>
      <w:r w:rsidRPr="00623C67">
        <w:rPr>
          <w:i/>
          <w:iCs/>
        </w:rPr>
        <w:t>et al.</w:t>
      </w:r>
      <w:r w:rsidRPr="00623C67">
        <w:t xml:space="preserve">, 2006). Nell’opinione degli alunni, indagata per esempio da Wall e colleghi (2005), si fa spazio l’idea che la LIM favorisca la concentrazione e permetta di comprendere, riflettere e ricordare meglio. Sono soprattutto le immagini a facilitare l’apprendimento e gli studenti sottolineano il fatto che, grazie alla possibilità di impiegare giochi interattivi, imparare diventa più facile e divertente (Wall </w:t>
      </w:r>
      <w:r w:rsidRPr="00623C67">
        <w:rPr>
          <w:i/>
          <w:iCs/>
        </w:rPr>
        <w:t>et al.</w:t>
      </w:r>
      <w:r w:rsidRPr="00623C67">
        <w:t>, 2005). Benefici maggiori sarebbero riscontrati tra gli allievi più giovani, come pure tra quelli con disturbi nell’apprendimento e caratterizzati da difficoltà cognitive o nelle abilità motorie (Somekh e Haldane, 2006).</w:t>
      </w:r>
    </w:p>
    <w:p w:rsidR="00623C67" w:rsidRPr="00623C67" w:rsidRDefault="00623C67" w:rsidP="00F048D5">
      <w:pPr>
        <w:jc w:val="both"/>
      </w:pPr>
      <w:r w:rsidRPr="00623C67">
        <w:t xml:space="preserve">Alcuni lavori mostrano anche alcune criticità. Wall e colleghi (2005) sottolineano come le aspettative degli studenti siano frustrate dagli intralci di tipo tecnico o dal loro scarso coinvolgimento nell’uso dello strumento. Smith e colleghi (2006), invece, osservano che i ritmi più vivaci favoriti dalla LIM portano sia a una maggiore partecipazione degli studenti suffragata da un maggior numero di interventi e di domande poste all’insegnante, sia a una minore accuratezza, esattezza e precisione nelle risposte degli studenti. </w:t>
      </w:r>
    </w:p>
    <w:p w:rsidR="00623C67" w:rsidRPr="00623C67" w:rsidRDefault="00623C67" w:rsidP="00F048D5">
      <w:pPr>
        <w:jc w:val="both"/>
      </w:pPr>
      <w:r w:rsidRPr="00623C67">
        <w:t xml:space="preserve">Come se la multimedialità, che secondo alcuni consentirebbe presentazioni più ricche, vivide e coinvolgenti dal punto di vista sensoriale (Wall </w:t>
      </w:r>
      <w:r w:rsidRPr="00623C67">
        <w:rPr>
          <w:i/>
          <w:iCs/>
        </w:rPr>
        <w:t>et al.</w:t>
      </w:r>
      <w:r w:rsidRPr="00623C67">
        <w:t xml:space="preserve">, 2005; Levy, 2002), contenesse anche il rischio di un coinvolgimento cognitivo più superficiale. </w:t>
      </w:r>
    </w:p>
    <w:p w:rsidR="00623C67" w:rsidRPr="00623C67" w:rsidRDefault="00623C67" w:rsidP="00F048D5">
      <w:pPr>
        <w:jc w:val="both"/>
      </w:pPr>
    </w:p>
    <w:p w:rsidR="00623C67" w:rsidRPr="00623C67" w:rsidRDefault="00623C67" w:rsidP="00F048D5">
      <w:pPr>
        <w:keepNext/>
        <w:jc w:val="both"/>
        <w:rPr>
          <w:b/>
          <w:bCs/>
        </w:rPr>
      </w:pPr>
      <w:r w:rsidRPr="00623C67">
        <w:rPr>
          <w:b/>
          <w:bCs/>
        </w:rPr>
        <w:t>I docenti e la LIM</w:t>
      </w:r>
    </w:p>
    <w:p w:rsidR="00623C67" w:rsidRPr="00623C67" w:rsidRDefault="00623C67" w:rsidP="00F048D5">
      <w:pPr>
        <w:keepNext/>
        <w:jc w:val="both"/>
      </w:pPr>
      <w:r w:rsidRPr="00623C67">
        <w:t xml:space="preserve">Le ricerche che si sono occupate del rapporto tra la LIM e gli insegnanti riferiscono di come, in generale, sia una tecnologia apprezzata (Beeland, 2002; Hall e Higgins, 2005; Smith </w:t>
      </w:r>
      <w:r w:rsidRPr="00623C67">
        <w:rPr>
          <w:i/>
          <w:iCs/>
        </w:rPr>
        <w:t>et al.</w:t>
      </w:r>
      <w:r w:rsidRPr="00623C67">
        <w:t>, 2005)</w:t>
      </w:r>
      <w:r w:rsidRPr="00623C67">
        <w:rPr>
          <w:vertAlign w:val="superscript"/>
        </w:rPr>
        <w:footnoteReference w:id="2"/>
      </w:r>
      <w:r w:rsidRPr="00623C67">
        <w:t xml:space="preserve">. La positiva accoglienza da parte degli insegnanti è legata alla possibilità di ampliare le opportunità didattiche (Levy, 2002), in particolare, attraverso la disponibilità di modalità di rappresentazione multimediali ritenute capaci di migliorare l’esposizione e stimolare attenzione e comprensione (Kennewell e Beauchamp, 2003; Smith </w:t>
      </w:r>
      <w:r w:rsidRPr="00623C67">
        <w:rPr>
          <w:i/>
          <w:iCs/>
        </w:rPr>
        <w:t>et al.</w:t>
      </w:r>
      <w:r w:rsidRPr="00623C67">
        <w:t xml:space="preserve">, 2005). </w:t>
      </w:r>
    </w:p>
    <w:p w:rsidR="00623C67" w:rsidRPr="00623C67" w:rsidRDefault="00623C67" w:rsidP="00F048D5">
      <w:pPr>
        <w:jc w:val="both"/>
      </w:pPr>
      <w:r w:rsidRPr="00623C67">
        <w:t xml:space="preserve">La ricerca non riscontra diversità tra uomini e donne circa l’uso e i risultati ottenuti (Swan </w:t>
      </w:r>
      <w:r w:rsidRPr="00623C67">
        <w:rPr>
          <w:i/>
          <w:iCs/>
        </w:rPr>
        <w:t>et al.</w:t>
      </w:r>
      <w:r w:rsidRPr="00623C67">
        <w:t xml:space="preserve">, 2010), ma mostra significative differenze tra insegnanti più o meno esperti. Lewin e colleghi (2008) hanno constatato come l’uso della LIM diventi particolarmente efficace dopo due anni di utilizzo. In questo periodo aumenta non solo la competenza tecnica, ma anche la sensibilità del docente verso pratiche pedagogiche e dinamiche comunicative congeniali al nuovo contesto. </w:t>
      </w:r>
    </w:p>
    <w:p w:rsidR="00623C67" w:rsidRPr="00623C67" w:rsidRDefault="00623C67" w:rsidP="00F048D5">
      <w:pPr>
        <w:jc w:val="both"/>
      </w:pPr>
      <w:r w:rsidRPr="00623C67">
        <w:t xml:space="preserve">Questo non significa, ovviamente, che usare la LIM quando non la si conosca ancora bene sia controproducente (si tratterebbe, del resto, di una situazione paradossale che rischierebbe di rimandarne l’uso all’infinito), ma solo che nei primi anni i risultati complessivi, i termini di rendimento della classe, i differenziali sono modesti. In questo senso Holmes (2009) sottolinea come una formazione appropriata rappresenti il fattore più importante di riuscita. Una criticità su cui si scontrano i diversi piani di diffusione di questo strumento nel mondo è proprio relativa all’allestimento di interventi adeguati per la formazione iniziale. Una buona formazione non può limitarsi, come spesso avviene, al solo “addestramento tecnologico”, anche se è proprio questo aspetto a determinare le maggiori criticità soprattutto in quanti non abbiano già confidenza con le ICT (Smith </w:t>
      </w:r>
      <w:r w:rsidRPr="00623C67">
        <w:rPr>
          <w:i/>
          <w:iCs/>
        </w:rPr>
        <w:t>et al.</w:t>
      </w:r>
      <w:r w:rsidRPr="00623C67">
        <w:t>, 2005). Interventi più efficaci (e su questo punto torneremo più dettagliatamente nel prossimo paragrafo) dovrebbero mirare a sviluppare in maniera integrata quelle competenze che portano a insegnare in maniera diversa (Koehler e Mishra, 2009).</w:t>
      </w:r>
    </w:p>
    <w:p w:rsidR="00623C67" w:rsidRPr="00623C67" w:rsidRDefault="00623C67" w:rsidP="00F048D5">
      <w:pPr>
        <w:jc w:val="both"/>
        <w:rPr>
          <w:b/>
          <w:bCs/>
        </w:rPr>
      </w:pPr>
    </w:p>
    <w:p w:rsidR="00623C67" w:rsidRPr="00623C67" w:rsidRDefault="00623C67" w:rsidP="00F048D5">
      <w:pPr>
        <w:keepNext/>
        <w:jc w:val="both"/>
        <w:rPr>
          <w:b/>
          <w:bCs/>
        </w:rPr>
      </w:pPr>
      <w:r w:rsidRPr="00623C67">
        <w:rPr>
          <w:b/>
          <w:bCs/>
        </w:rPr>
        <w:t>Le modalità di utilizzo</w:t>
      </w:r>
    </w:p>
    <w:p w:rsidR="00623C67" w:rsidRPr="00623C67" w:rsidRDefault="00623C67" w:rsidP="00F048D5">
      <w:pPr>
        <w:keepNext/>
        <w:jc w:val="both"/>
      </w:pPr>
      <w:r w:rsidRPr="00623C67">
        <w:t xml:space="preserve">L’ultima questione, su cui la ricerca è tuttora impegnata, è relativa all’analisi delle modalità di utilizzo e, in particolare, all’identificazione dei metodi e delle strategie maggiormente capaci di rendere effettive le potenzialità del mezzo (Rudd, 2007). Alcuni autori sottolineano come la lavagna, essendo uno strumento espositivo, favorisca metodi di insegnamento frontale (Smith </w:t>
      </w:r>
      <w:r w:rsidRPr="00623C67">
        <w:rPr>
          <w:i/>
          <w:iCs/>
        </w:rPr>
        <w:t>et al.</w:t>
      </w:r>
      <w:r w:rsidRPr="00623C67">
        <w:t>, 2006; Wood e Ashfield, 2008) con dinamiche strutturate in tre classiche fasi: stimolo iniziale da parte dell’insegnante, risposta da parte degli studenti e riscontro finale (</w:t>
      </w:r>
      <w:r w:rsidRPr="00623C67">
        <w:rPr>
          <w:i/>
          <w:iCs/>
        </w:rPr>
        <w:t>feedback</w:t>
      </w:r>
      <w:r w:rsidRPr="00623C67">
        <w:t xml:space="preserve">) da parte dell’insegnante (Higgins </w:t>
      </w:r>
      <w:r w:rsidRPr="00623C67">
        <w:rPr>
          <w:i/>
          <w:iCs/>
        </w:rPr>
        <w:t>et al.</w:t>
      </w:r>
      <w:r w:rsidRPr="00623C67">
        <w:t>, 2007). Si utilizzerebbe cioè la LIM per riproporre un modello</w:t>
      </w:r>
      <w:r w:rsidRPr="00623C67">
        <w:rPr>
          <w:i/>
          <w:iCs/>
        </w:rPr>
        <w:t xml:space="preserve"> </w:t>
      </w:r>
      <w:r w:rsidRPr="00623C67">
        <w:t xml:space="preserve">educativo volto alla riproduzione delle conoscenze offerte dal docente piuttosto che alla promozione di processi attivi di apprendimento e di approfondimento. </w:t>
      </w:r>
    </w:p>
    <w:p w:rsidR="00623C67" w:rsidRPr="00623C67" w:rsidRDefault="00623C67" w:rsidP="00F048D5">
      <w:pPr>
        <w:jc w:val="both"/>
      </w:pPr>
      <w:r w:rsidRPr="00623C67">
        <w:t xml:space="preserve">Per alcuni le conseguenze di un approccio di questo tipo sarebbero la scarsa valorizzazione delle individualità, la ridotta interazione tra gli alunni e un loro minore coinvolgimento nell’attività educativa a partire dai processi di definizione degli obiettivi e delle strategie di lavoro (Schuck e Kearney, 2007). Tali considerazioni non sono condivise da tutti i ricercatori che, anzi, sottolineano come la LIM possa essere utilizzata in modalità molto differenti e che, a ognuna di queste, apporti un “quid” in più. </w:t>
      </w:r>
    </w:p>
    <w:p w:rsidR="00623C67" w:rsidRPr="00623C67" w:rsidRDefault="00623C67" w:rsidP="00F048D5">
      <w:pPr>
        <w:jc w:val="both"/>
      </w:pPr>
      <w:r w:rsidRPr="00623C67">
        <w:t xml:space="preserve">Secondo Beeland (2002) la lavagna digitale fornisce, in ogni caso, un accesso alle conoscenze più ricco e pervasivo mediante l’attivazione di tre canali sensoriali: visivo, uditivo e corporeo-cinestetico. Questo a beneficio sia delle discipline tecnico-pratiche che di quelle più teoriche, sia di didattiche improntate a metodi attivi che a modelli di insegnamento più tradizionali. Il docente ha, in ogni caso, l’opportunità di migliorare e arricchire l’esposizione, modellando idee e concetti astratti in maniera nuova al fine di richiamare l’attenzione e facilitare la comprensione (Kennewell e Beauchamp, 2003; Smith </w:t>
      </w:r>
      <w:r w:rsidRPr="00623C67">
        <w:rPr>
          <w:i/>
          <w:iCs/>
        </w:rPr>
        <w:t>et al.</w:t>
      </w:r>
      <w:r w:rsidRPr="00623C67">
        <w:t xml:space="preserve">, 2005). I lavori che riscontrano questi aspetti sono numerosi in ogni ambito disciplinare: matematica (Lewin </w:t>
      </w:r>
      <w:r w:rsidRPr="00623C67">
        <w:rPr>
          <w:i/>
          <w:iCs/>
        </w:rPr>
        <w:t>et al.</w:t>
      </w:r>
      <w:r w:rsidRPr="00623C67">
        <w:t xml:space="preserve">, 2008; Wood e Ashfield, 2008), lingue (Schmid, 2008; Türel, 2011), scienze (Kennewell e Beauchamp, 2003; Gillen </w:t>
      </w:r>
      <w:r w:rsidRPr="00623C67">
        <w:rPr>
          <w:i/>
          <w:iCs/>
        </w:rPr>
        <w:t>et al.</w:t>
      </w:r>
      <w:r w:rsidRPr="00623C67">
        <w:t xml:space="preserve">, 2008; Mercer </w:t>
      </w:r>
      <w:r w:rsidRPr="00623C67">
        <w:rPr>
          <w:i/>
          <w:iCs/>
        </w:rPr>
        <w:t>et al</w:t>
      </w:r>
      <w:r w:rsidRPr="00623C67">
        <w:t xml:space="preserve">., 2010). </w:t>
      </w:r>
    </w:p>
    <w:p w:rsidR="00623C67" w:rsidRPr="00623C67" w:rsidRDefault="00623C67" w:rsidP="00F048D5">
      <w:pPr>
        <w:jc w:val="both"/>
      </w:pPr>
      <w:r w:rsidRPr="00623C67">
        <w:t xml:space="preserve">Anche nell’insegnamento della storia si rafforza l’idea che le tecnologie rappresentino un interessante veicolo per comunicare in maniera più interessante ed efficace il fatto storico (Smith, 2007) in particolare grazie alla possibilità di impiegare risorse digitali per favorire l’interesse, la partecipazione, la discussione e il modo di pensare ai fatti del passato (Haydn, 2011). </w:t>
      </w:r>
    </w:p>
    <w:p w:rsidR="00623C67" w:rsidRPr="00623C67" w:rsidRDefault="00623C67" w:rsidP="00F048D5">
      <w:pPr>
        <w:jc w:val="both"/>
        <w:rPr>
          <w:b/>
          <w:bCs/>
        </w:rPr>
      </w:pPr>
    </w:p>
    <w:p w:rsidR="00F048D5" w:rsidRDefault="00F048D5" w:rsidP="00F048D5">
      <w:pPr>
        <w:jc w:val="both"/>
        <w:rPr>
          <w:b/>
          <w:bCs/>
        </w:rPr>
      </w:pPr>
    </w:p>
    <w:p w:rsidR="00F048D5" w:rsidRDefault="00F048D5" w:rsidP="00F048D5">
      <w:pPr>
        <w:jc w:val="both"/>
        <w:rPr>
          <w:b/>
          <w:bCs/>
        </w:rPr>
      </w:pPr>
    </w:p>
    <w:p w:rsidR="00F048D5" w:rsidRDefault="00F048D5" w:rsidP="00F048D5">
      <w:pPr>
        <w:jc w:val="both"/>
        <w:rPr>
          <w:b/>
          <w:bCs/>
        </w:rPr>
      </w:pPr>
    </w:p>
    <w:p w:rsidR="00623C67" w:rsidRPr="00F048D5" w:rsidRDefault="00623C67" w:rsidP="00F048D5">
      <w:pPr>
        <w:keepNext/>
        <w:jc w:val="both"/>
        <w:rPr>
          <w:b/>
          <w:bCs/>
          <w:u w:val="single"/>
        </w:rPr>
      </w:pPr>
      <w:r w:rsidRPr="00F048D5">
        <w:rPr>
          <w:b/>
          <w:bCs/>
          <w:u w:val="single"/>
        </w:rPr>
        <w:t xml:space="preserve">Usare la </w:t>
      </w:r>
      <w:r w:rsidR="00F048D5" w:rsidRPr="00F048D5">
        <w:rPr>
          <w:b/>
          <w:bCs/>
          <w:u w:val="single"/>
        </w:rPr>
        <w:t>LIM</w:t>
      </w:r>
      <w:r w:rsidRPr="00F048D5">
        <w:rPr>
          <w:b/>
          <w:bCs/>
          <w:u w:val="single"/>
        </w:rPr>
        <w:t xml:space="preserve"> al massimo</w:t>
      </w:r>
    </w:p>
    <w:p w:rsidR="00623C67" w:rsidRPr="00623C67" w:rsidRDefault="00623C67" w:rsidP="00F048D5">
      <w:pPr>
        <w:keepNext/>
        <w:jc w:val="both"/>
      </w:pPr>
    </w:p>
    <w:p w:rsidR="00623C67" w:rsidRPr="00623C67" w:rsidRDefault="00623C67" w:rsidP="00F048D5">
      <w:pPr>
        <w:keepNext/>
        <w:jc w:val="both"/>
        <w:rPr>
          <w:b/>
          <w:bCs/>
        </w:rPr>
      </w:pPr>
      <w:r w:rsidRPr="00623C67">
        <w:rPr>
          <w:b/>
          <w:bCs/>
        </w:rPr>
        <w:t>Non solo tecnologia</w:t>
      </w:r>
    </w:p>
    <w:p w:rsidR="00623C67" w:rsidRPr="00623C67" w:rsidRDefault="00623C67" w:rsidP="00F048D5">
      <w:pPr>
        <w:keepNext/>
        <w:jc w:val="both"/>
      </w:pPr>
      <w:r w:rsidRPr="00623C67">
        <w:t xml:space="preserve">L’impiego efficace della tecnologia nella didattica non richiede, come abbiamo anticipato, solo la padronanza tecnica, competenza che, nel caso della LIM, comporta il sapere usare almeno un po’ il computer, impratichirsi nell’utilizzo della penna digitale sul grande schermo (o delle dita nel caso di lavagne come quella della Smart), conoscere l’utilizzo di alcuni applicativi (PowerPoint, Word, il programma di gestione della LIM…). Tale competenza è ovviamente indispensabile, ma è anche quella più facile da ottenere: in pochi giorni è possibile raggiungere un buon livello anche partendo da una scarsa familiarità iniziale con il computer. Raggiunta questa competenza (che è quella a cui si limitano la gran parte degli interventi formativi) restano i problemi del “perché”, del “quando” e, soprattutto, del “come” usarla. Koehler e Mishra (2009) hanno proposto un interessante modello per comprendere quali competenze siano necessarie per rispondere adeguatamente a questi interrogativi. </w:t>
      </w:r>
    </w:p>
    <w:p w:rsidR="00623C67" w:rsidRPr="00623C67" w:rsidRDefault="00623C67" w:rsidP="00F048D5">
      <w:pPr>
        <w:jc w:val="both"/>
      </w:pPr>
      <w:r w:rsidRPr="00623C67">
        <w:t>Il modello, denominato TPACK (</w:t>
      </w:r>
      <w:r w:rsidRPr="00623C67">
        <w:rPr>
          <w:i/>
          <w:iCs/>
        </w:rPr>
        <w:t>Technological Pedagogical Content Knowledge</w:t>
      </w:r>
      <w:r w:rsidRPr="00623C67">
        <w:t xml:space="preserve">, conoscenza tecnologica, pedagogica e contenutistica), suggerisce che per integrare con successo le tecnologie nell’insegnamento sia indispensabile padroneggiare e integrare tre conoscenze di base (figura sotto): quella dei contenuti disciplinari (CK), quella pedagogica (PK) e quella tecnologica (TK). Ognuna di queste, infatti, si ristruttura in relazione alle altre portando a un risultato che è maggiore della somma delle parti. </w:t>
      </w:r>
    </w:p>
    <w:p w:rsidR="00623C67" w:rsidRPr="00623C67" w:rsidRDefault="00623C67" w:rsidP="00F048D5">
      <w:pPr>
        <w:jc w:val="both"/>
      </w:pPr>
    </w:p>
    <w:p w:rsidR="00623C67" w:rsidRPr="00623C67" w:rsidRDefault="00623C67" w:rsidP="00F048D5">
      <w:pPr>
        <w:keepNext/>
        <w:jc w:val="both"/>
        <w:rPr>
          <w:b/>
          <w:bCs/>
        </w:rPr>
      </w:pPr>
      <w:r w:rsidRPr="00623C67">
        <w:rPr>
          <w:b/>
          <w:bCs/>
        </w:rPr>
        <w:t>Ripensare la didattica</w:t>
      </w:r>
    </w:p>
    <w:p w:rsidR="00623C67" w:rsidRPr="00623C67" w:rsidRDefault="00623C67" w:rsidP="00F048D5">
      <w:pPr>
        <w:keepNext/>
        <w:jc w:val="both"/>
      </w:pPr>
      <w:r w:rsidRPr="00623C67">
        <w:t>Se la conoscenza tecnologica è quella di cui abbiamo parlato (saper accendere il computer, aprire il software della LIM, usare la penna digitale ecc.) le altre, che a un bravo insegnante potrebbero apparire perfino scontate, sono quelle che consentono di dare un senso all’uso della LIM in classe. Quando si accende la lavagna sia i contenuti che i metodi devono essere ripensati. Conoscenza disciplinare (CK), in questo senso, significa certamente (e ancora) conoscere le linee portanti della propria disciplina (compresi gli aspetti storici ed epistemologici), significa indubbiamente saper individuare i “nuclei centrali” dai quali partire per strutturare i percorsi da seguire. Con la LIM, però, è necessario estendere tali capacità interrogandosi su quali siano i momenti migliori per utilizzare risorse integrative (mostrare un filmato, lavorare su una carta geografica, presentare una linea del tempo, visualizzare immagini di reperti ecc.); identificando attività da far svolgere individualmente o in gruppo e su cui discutere insieme dopo aver visualizzato i prodotti; individuando gli aspetti “problemici” da cui partire con stimoli, agganci e connessioni verso altre direzioni (anche interdisciplinari). Tutto questo porta a dover ripensare la scansione della lezione e a dedicare tempo alla ricerca di risorse, alla consultazione di archivi audiovisivi online, alla lettura di siti e riviste specializzate, alla partecipazione a forum di discussione (e ne esistono numerosi) di quei docenti che condividono e documentano materiali ed esperienze di insegnamento con la LIM</w:t>
      </w:r>
      <w:r w:rsidRPr="00623C67">
        <w:rPr>
          <w:vertAlign w:val="superscript"/>
        </w:rPr>
        <w:footnoteReference w:id="3"/>
      </w:r>
      <w:r w:rsidRPr="00623C67">
        <w:t>.</w:t>
      </w:r>
    </w:p>
    <w:p w:rsidR="00623C67" w:rsidRPr="00623C67" w:rsidRDefault="00623C67" w:rsidP="00F048D5">
      <w:pPr>
        <w:jc w:val="both"/>
      </w:pPr>
    </w:p>
    <w:p w:rsidR="00623C67" w:rsidRPr="00623C67" w:rsidRDefault="00623C67" w:rsidP="00F048D5">
      <w:pPr>
        <w:keepNext/>
        <w:jc w:val="both"/>
        <w:rPr>
          <w:b/>
          <w:bCs/>
        </w:rPr>
      </w:pPr>
      <w:r w:rsidRPr="00623C67">
        <w:rPr>
          <w:b/>
          <w:bCs/>
        </w:rPr>
        <w:t xml:space="preserve">La scelta delle risorse digitali </w:t>
      </w:r>
    </w:p>
    <w:p w:rsidR="00623C67" w:rsidRPr="00623C67" w:rsidRDefault="00623C67" w:rsidP="00F048D5">
      <w:pPr>
        <w:keepNext/>
        <w:jc w:val="both"/>
      </w:pPr>
      <w:r w:rsidRPr="00623C67">
        <w:t xml:space="preserve">Le risorse didattiche digitali che possono essere impiegate nel corso di una lezione non devono essere necessariamente complesse, ma devono essere ben identificate! La risorsa può anche essere una semplice pagina realizzata con il programma in dotazione con la lavagna, piuttosto che con Open Office o Power Point, o può essere costruita o recuperata dalla rete. L’importante non è tanto la complessità intrinseca dell’oggetto software (in termini di multimedialità e interattività), quanto la sua capacità di consentire lo svolgimento di significativi processi di apprendimento in classe. La scelta delle risorse, come pure il modo di impiegarle, richiama l’ultima dimensione del modello TPACK che è quella della conoscenza pedagogica (PK). Migliorare la propria efficacia sul piano pedagogico e didattico è (o dovrebbe essere) una naturale attitudine di chi insegna. In questo caso specifico significa prendere confidenza con un </w:t>
      </w:r>
      <w:r w:rsidRPr="00623C67">
        <w:rPr>
          <w:i/>
          <w:iCs/>
        </w:rPr>
        <w:t>setting</w:t>
      </w:r>
      <w:r w:rsidRPr="00623C67">
        <w:t xml:space="preserve"> operativo diverso, dove la presenza di una tecnologia “accentratrice”, com’è la LIM, richiede di ripensare la gestione della classe. Abbiamo visto come la LIM sia uno strumento capace di richiamare l’attenzione degli allievi. Se l’attenzione si sposta dall’insegnante al contenuto visualizzato è vieppiù necessario soprintendere con fermezza a questo gioco di equilibri. Una appropriata gestione della classe dovrebbe indurre a cercare il coinvolgimento di tutti gli studenti (e non solo di alcuni, magari quelli in prima fila o alla lavagna) e a fare attenzione al fatto che i ruoli non vengano sminuiti o alterati dalla tecnologia. </w:t>
      </w:r>
    </w:p>
    <w:p w:rsidR="00623C67" w:rsidRPr="00623C67" w:rsidRDefault="00623C67" w:rsidP="00F048D5">
      <w:pPr>
        <w:jc w:val="both"/>
      </w:pPr>
      <w:r w:rsidRPr="00623C67">
        <w:t xml:space="preserve">Nella scelta dei materiali multimediali, per esempio, è preferibile optare per risorse aperte che favoriscano la discussione, che lascino spazio alla voce autorevole del docente, che offrano la possibilità di porre domande su cui poi continuare a lavorare. Analogamente, nella gestione dei tempi di esposizione, specie nel caso di risorse di “flusso” come i video, è importante che l’insegnante verifichi costantemente la tensione attentiva e cognitiva degli studenti interrompendo se necessario la riproduzione con interventi e domande. La competenza pedagogica dovrebbe essere impiegata per riconoscere il giusto livello di semplificazione e complessità da offrire agli studenti, per selezionare le metodologie migliori per comunicare, sintetizzare e adattare le conoscenze, per favorire occasioni per la costruzione e la strutturazione degli apprendimenti. In questa prospettiva insegnare con la LIM può favorire un approccio più sistematico all’insegnamento. </w:t>
      </w:r>
    </w:p>
    <w:p w:rsidR="00623C67" w:rsidRPr="00623C67" w:rsidRDefault="00623C67" w:rsidP="00F048D5">
      <w:pPr>
        <w:jc w:val="both"/>
      </w:pPr>
      <w:r w:rsidRPr="00623C67">
        <w:t>La programmazione degli obiettivi, la loro attuazione e verifica possono essere pianificati, oltre che sulla base dei tempi di svolgimento del programma, sulla base dell’individuazione dei momenti opportuni (gli eventi chiave di un periodo storico? i passaggi cruciali di un conflitto?) in cui inserire risorse multimediali o attività integrative o di verifica da svolgere alla LIM.</w:t>
      </w:r>
    </w:p>
    <w:p w:rsidR="00623C67" w:rsidRPr="00623C67" w:rsidRDefault="00623C67" w:rsidP="00F048D5">
      <w:pPr>
        <w:jc w:val="both"/>
      </w:pPr>
    </w:p>
    <w:p w:rsidR="00623C67" w:rsidRPr="00623C67" w:rsidRDefault="00623C67" w:rsidP="00F048D5">
      <w:pPr>
        <w:keepNext/>
        <w:jc w:val="both"/>
        <w:rPr>
          <w:b/>
          <w:bCs/>
        </w:rPr>
      </w:pPr>
      <w:r w:rsidRPr="00623C67">
        <w:rPr>
          <w:b/>
          <w:bCs/>
        </w:rPr>
        <w:t xml:space="preserve">La visualità come risorsa </w:t>
      </w:r>
    </w:p>
    <w:p w:rsidR="00623C67" w:rsidRPr="00623C67" w:rsidRDefault="00623C67" w:rsidP="00F048D5">
      <w:pPr>
        <w:keepNext/>
        <w:jc w:val="both"/>
      </w:pPr>
      <w:r w:rsidRPr="00623C67">
        <w:t>Tra gli aspetti maggiormente evidenziati dalle diverse ricerche c’è il fatto che la LIM permetta di avvalersi di linguaggi diversi e, in particolare, di quello visuale. Questo a vantaggio di una esposizione più ricca e di una maggiore comprensibilità di fatti, concetti e procedure. Il linguaggio visuale può essere utilizzato in modi e con finalità diverse. La forma probabilmente più scontata è quella del riportare dei testi (magari la scansione di una pagina del libro) sul grande schermo della lavagna. Lavorare sul testo esposto alla lavagna (sottolineando, evidenziando, annotando ecc.) consente di chiarire, ricapitolare, estendere, puntualizzare e favorire attività di analisi, riflessione e discussione. Una seconda modalità di lavoro visuale è quella di ricorrere all’impiego di quelle decine di organizzatori grafici (</w:t>
      </w:r>
      <w:r w:rsidRPr="00623C67">
        <w:rPr>
          <w:i/>
          <w:iCs/>
        </w:rPr>
        <w:t>vedi</w:t>
      </w:r>
      <w:r w:rsidRPr="00623C67">
        <w:t xml:space="preserve"> figura a pagina seguente) che in questi anni sono stati messi a punto per facilitare la concettualizzazione (Bonaiuti, 2011). Aiutare gli studenti a passare dalla lettura del testo all’elaborazione di mappe, tabelle e diagrammi consente di migliorare la comprensione, realizzare connessioni, facilitare la strutturazione di schemi mentali, agevolare la memorizzazione. </w:t>
      </w:r>
    </w:p>
    <w:p w:rsidR="00623C67" w:rsidRPr="00623C67" w:rsidRDefault="00623C67" w:rsidP="00F048D5">
      <w:pPr>
        <w:jc w:val="both"/>
      </w:pPr>
      <w:r w:rsidRPr="00623C67">
        <w:t>Usare il linguaggio visuale significa, naturalmente, impiegare immagini statiche (come foto e illustrazioni), o dinamiche (come filmati e animazioni) nel corso della lezione. Nella didattica della storia le immagini sono fondamentali per rievocare alcuni tratti caratteristici di un’epoca (ambiente, arredi, indumenti, artefatti ecc.), permettere di apprezzarne stili di vita, disponibilità tecnologiche, conoscenze, estetica. In altri termini: contestualizzare visivamente il fatto storico. Attraverso le immagini è inoltre possibile mostrare gli strumenti di lavoro dello storico: le fonti e le difficoltà nel loro utilizzo, la ricerca, classificazione e analisi dei reperti, il confronto con le scienze geologiche, archeologiche, paleontologiche ecc. Le immagini possono, infine, essere affiancate da opportuni elementi sonori: discorsi celebri, letture di opere letterarie, musiche. Quando le risorse visuali vengono integrate, in maniera equilibrata e coerente, a quelle sonore è possibile ottenere interessanti risultati.</w:t>
      </w:r>
    </w:p>
    <w:p w:rsidR="00623C67" w:rsidRPr="00623C67" w:rsidRDefault="00623C67" w:rsidP="00F048D5">
      <w:pPr>
        <w:jc w:val="both"/>
      </w:pPr>
    </w:p>
    <w:p w:rsidR="00F048D5" w:rsidRDefault="00F048D5" w:rsidP="00F048D5">
      <w:pPr>
        <w:jc w:val="both"/>
        <w:rPr>
          <w:b/>
          <w:bCs/>
        </w:rPr>
      </w:pPr>
    </w:p>
    <w:p w:rsidR="00623C67" w:rsidRPr="00623C67" w:rsidRDefault="00623C67" w:rsidP="00F048D5">
      <w:pPr>
        <w:keepNext/>
        <w:jc w:val="both"/>
        <w:rPr>
          <w:b/>
          <w:bCs/>
        </w:rPr>
      </w:pPr>
      <w:r w:rsidRPr="00623C67">
        <w:rPr>
          <w:b/>
          <w:bCs/>
        </w:rPr>
        <w:t xml:space="preserve">Potenzialità interdisciplinari </w:t>
      </w:r>
    </w:p>
    <w:p w:rsidR="00623C67" w:rsidRPr="00623C67" w:rsidRDefault="00623C67" w:rsidP="00F048D5">
      <w:pPr>
        <w:keepNext/>
        <w:jc w:val="both"/>
      </w:pPr>
      <w:r w:rsidRPr="00623C67">
        <w:t xml:space="preserve">Vediamo un esempio. Immaginiamo di dover parlare di Cristina di Svezia, personalità complessa e anticonformista, appassionata d’arte, di filosofia e di musica. Avvalendosi della LIM si può accompagnare alla narrazione dei fatti storici (la guerra dei Trent’anni, la sua conversione al cattolicesimo, l’abdicazione, il periodo romano, la fondazione dell’accademia…) la presentazione di immagini (ritratti di Cristina e dei palazzi romani da lei abitati, il monumento a lei dedicato all’interno della basilica di San Pietro a Roma, la cartografia dell’epoca, il barocco nell’architettura e nell’arte nel Seicento). Da queste è poi possibile passare all’ascolto di un brano dei </w:t>
      </w:r>
      <w:r w:rsidRPr="00623C67">
        <w:rPr>
          <w:i/>
          <w:iCs/>
        </w:rPr>
        <w:t>Concerti grossi</w:t>
      </w:r>
      <w:r w:rsidRPr="00623C67">
        <w:t xml:space="preserve"> di Arcangelo Corelli o alla lettura di un passaggio dai </w:t>
      </w:r>
      <w:r w:rsidRPr="00623C67">
        <w:rPr>
          <w:i/>
          <w:iCs/>
        </w:rPr>
        <w:t>Pensieri</w:t>
      </w:r>
      <w:r w:rsidRPr="00623C67">
        <w:t xml:space="preserve"> di Blaise Pascal. Come si può parlare della passione per la musica, le arti e la filosofia di Cristina senza presentarne delle esemplificazioni concrete? La visione di un estratto dal celebre film </w:t>
      </w:r>
      <w:r w:rsidRPr="00623C67">
        <w:rPr>
          <w:i/>
          <w:iCs/>
        </w:rPr>
        <w:t>La regina Cristina</w:t>
      </w:r>
      <w:r w:rsidRPr="00623C67">
        <w:t xml:space="preserve"> interpretato nel 1933 dalla connazionale Greta Garbo, infine, può permettere una discussione sull’attendibilità della ricostruzione proposta da Hollywood. Tutte le discipline scolastiche, e la storia in particolare, sono eminentemente “multimediali”: riguardano l’esperienza umana nel mondo, esperienza che avviene con il coinvolgimento di tutti i sensi. In questo senso non c’è dubbio che la LIM possa arricchire le lezioni tradizionali che, spesso, sono sbilanciate sulla (sola) dimensione narrativo/verbale e rivolte a esporre in maniera monotona nomi senza volto e date senza un tempo. Allo stesso tempo il concetto di “interdisciplinarità” può diventare qualcosa di diverso (e di più concreto) rispetto al vacuo proclama di qualche documento ministeriale: per la storia, per esempio, è il modo di entrare con vigore nel tempo che è stato per conoscerlo in maniera organica. </w:t>
      </w:r>
    </w:p>
    <w:p w:rsidR="00623C67" w:rsidRPr="00623C67" w:rsidRDefault="00623C67" w:rsidP="00F048D5">
      <w:pPr>
        <w:jc w:val="both"/>
      </w:pPr>
    </w:p>
    <w:p w:rsidR="00623C67" w:rsidRPr="00623C67" w:rsidRDefault="00623C67" w:rsidP="00F048D5">
      <w:pPr>
        <w:keepNext/>
        <w:jc w:val="both"/>
        <w:rPr>
          <w:b/>
          <w:bCs/>
        </w:rPr>
      </w:pPr>
      <w:r w:rsidRPr="00623C67">
        <w:rPr>
          <w:b/>
          <w:bCs/>
        </w:rPr>
        <w:t>Il focus dell’attenzione</w:t>
      </w:r>
    </w:p>
    <w:p w:rsidR="00623C67" w:rsidRPr="00623C67" w:rsidRDefault="00623C67" w:rsidP="00F048D5">
      <w:pPr>
        <w:keepNext/>
        <w:jc w:val="both"/>
      </w:pPr>
      <w:r w:rsidRPr="00623C67">
        <w:t>Usare risorse multimediali, ovviamente, richiede un lavoro importante di ricerca documentale</w:t>
      </w:r>
      <w:r w:rsidRPr="00623C67">
        <w:rPr>
          <w:vertAlign w:val="superscript"/>
        </w:rPr>
        <w:footnoteReference w:id="4"/>
      </w:r>
      <w:r w:rsidRPr="00623C67">
        <w:t xml:space="preserve"> ma, soprattutto, l’esigenza di una sensibilità nell’impiegarle in maniera opportuna (al momento giusto, per lo scopo adeguato, nei tempi adatti, con l’accompagnamento di coerenti domande di stimolo alla riflessione ecc.). Le risorse multimediali, infatti, sono una potente arma a “doppio taglio”. Le ricerche sull’apprendimento multimediale (Mayer, 2009) e quelle della teoria del carico cognitivo (Sweller, 2010) ci dicono che esistono delle regole di utilizzo e che queste non possono essere disattese se si vogliono raggiungere positivi risultati di apprendimento. Non è questa la sede per entrare nel dettaglio di tali indicazioni. In estrema sintesi si può comunque dire che è di cruciale importanza il prestare attenzione al “focus dell’attenzione”. È cioè necessario inquadrare un concetto alla volta, presentando poche risorse in maniera semplice e ordinata al fine di evitare dispersione, fraintendimenti, agitazione, rumore. La mente umana è una risorsa fenomenale, ma per funzionare al meglio richiede la presenza di condizioni adeguate. L’uso della LIM, in classe, deve pertanto seguire modalità operative non molto diverse da quelle che dovrebbe suggerire il buon senso. Presentare troppi stimoli assieme, non collegare opportunamente le informazioni, riempire lo schermo con paginate di parole, inserire immagini ironiche (ancorché attinenti) solo per tenere desta l’attenzione, divagare con esempi superflui, usare colori sgargianti ed effetti lampeggianti, rappresentano, oltre che una perdita di tempo, una pericolosa insidia per l’apprendimento.</w:t>
      </w:r>
    </w:p>
    <w:p w:rsidR="00F048D5" w:rsidRDefault="00F048D5" w:rsidP="00F048D5">
      <w:pPr>
        <w:jc w:val="both"/>
        <w:rPr>
          <w:b/>
          <w:bCs/>
        </w:rPr>
      </w:pPr>
    </w:p>
    <w:p w:rsidR="00623C67" w:rsidRPr="00623C67" w:rsidRDefault="00623C67" w:rsidP="00F048D5">
      <w:pPr>
        <w:keepNext/>
        <w:jc w:val="both"/>
        <w:rPr>
          <w:b/>
          <w:bCs/>
        </w:rPr>
      </w:pPr>
      <w:r w:rsidRPr="00623C67">
        <w:rPr>
          <w:b/>
          <w:bCs/>
        </w:rPr>
        <w:t>Princìpi noti, ma sempre utili</w:t>
      </w:r>
    </w:p>
    <w:p w:rsidR="00623C67" w:rsidRPr="00623C67" w:rsidRDefault="00623C67" w:rsidP="00F048D5">
      <w:pPr>
        <w:keepNext/>
        <w:jc w:val="both"/>
      </w:pPr>
      <w:r w:rsidRPr="00623C67">
        <w:t>Calvani (2011) ha rilevato come alcuni classici princìpi dell’istruzione, come quelli elaborati da Gagné, Ausubel e altri studiosi del secolo scorso, sono stati recentemente confermati da evidenze sperimentali. Seguirli permette, con o senza la LIM, di favorire l’apprendimento. Rispettare princìpi quali:</w:t>
      </w:r>
    </w:p>
    <w:p w:rsidR="00623C67" w:rsidRPr="00623C67" w:rsidRDefault="00F048D5" w:rsidP="00F048D5">
      <w:pPr>
        <w:jc w:val="both"/>
      </w:pPr>
      <w:r>
        <w:t xml:space="preserve">- </w:t>
      </w:r>
      <w:r w:rsidR="00623C67" w:rsidRPr="00623C67">
        <w:t>focalizzare l’attenzione sugli aspetti rilevanti da apprendere (non divagare o disperdersi) ed evitare il sovraccarico cognitivo</w:t>
      </w:r>
    </w:p>
    <w:p w:rsidR="00623C67" w:rsidRPr="00623C67" w:rsidRDefault="00F048D5" w:rsidP="00F048D5">
      <w:pPr>
        <w:jc w:val="both"/>
      </w:pPr>
      <w:r>
        <w:t xml:space="preserve">- </w:t>
      </w:r>
      <w:r w:rsidR="00623C67" w:rsidRPr="00623C67">
        <w:t>attivare le preconoscenze dell’allievo, partire cioè da quello che gli allievi sanno, non dando per scontato niente (anche nell’uso del lessico: i termini impiegati devono essere noti)</w:t>
      </w:r>
    </w:p>
    <w:p w:rsidR="00623C67" w:rsidRPr="00623C67" w:rsidRDefault="00F048D5" w:rsidP="00F048D5">
      <w:pPr>
        <w:jc w:val="both"/>
      </w:pPr>
      <w:r>
        <w:t xml:space="preserve">- </w:t>
      </w:r>
      <w:r w:rsidR="00623C67" w:rsidRPr="00623C67">
        <w:t xml:space="preserve">fornire </w:t>
      </w:r>
      <w:r w:rsidR="00623C67" w:rsidRPr="00623C67">
        <w:rPr>
          <w:i/>
          <w:iCs/>
        </w:rPr>
        <w:t>feedback</w:t>
      </w:r>
      <w:r w:rsidR="00623C67" w:rsidRPr="00623C67">
        <w:t xml:space="preserve"> frequenti, accertarsi costantemente che si sia metabolizzato quanto è stato trattato fino a quel momento prima di procedere ulteriormente</w:t>
      </w:r>
    </w:p>
    <w:p w:rsidR="00623C67" w:rsidRPr="00623C67" w:rsidRDefault="00F048D5" w:rsidP="00F048D5">
      <w:pPr>
        <w:jc w:val="both"/>
      </w:pPr>
      <w:r>
        <w:t xml:space="preserve">- </w:t>
      </w:r>
      <w:r w:rsidR="00623C67" w:rsidRPr="00623C67">
        <w:t>scomporre e sequenzializzare compiti e nozioni complessi</w:t>
      </w:r>
    </w:p>
    <w:p w:rsidR="00623C67" w:rsidRPr="00623C67" w:rsidRDefault="00F048D5" w:rsidP="00F048D5">
      <w:pPr>
        <w:jc w:val="both"/>
      </w:pPr>
      <w:r>
        <w:t xml:space="preserve">- </w:t>
      </w:r>
      <w:r w:rsidR="00623C67" w:rsidRPr="00623C67">
        <w:t>aiutare l’allievo a pensare e a sviluppare l’immaginazione mentale attraverso la verbalizzazione ad alta voce</w:t>
      </w:r>
    </w:p>
    <w:p w:rsidR="00623C67" w:rsidRPr="00623C67" w:rsidRDefault="00F048D5" w:rsidP="00F048D5">
      <w:pPr>
        <w:jc w:val="both"/>
      </w:pPr>
      <w:r>
        <w:t xml:space="preserve">- </w:t>
      </w:r>
      <w:r w:rsidR="00623C67" w:rsidRPr="00623C67">
        <w:t>impiegare il “modellamento” e la “padronanza guidata”, ovvero mostrare come si fa per poi, progressivamente, lasciare spazio al lavoro autonomo</w:t>
      </w:r>
    </w:p>
    <w:p w:rsidR="00623C67" w:rsidRPr="00623C67" w:rsidRDefault="00F048D5" w:rsidP="00F048D5">
      <w:pPr>
        <w:jc w:val="both"/>
      </w:pPr>
      <w:r>
        <w:t xml:space="preserve">- </w:t>
      </w:r>
      <w:r w:rsidR="00623C67" w:rsidRPr="00623C67">
        <w:t xml:space="preserve">reimpiegare le conoscenze variando il contesto applicativo a distanza di tempo </w:t>
      </w:r>
    </w:p>
    <w:p w:rsidR="00623C67" w:rsidRPr="00623C67" w:rsidRDefault="00623C67" w:rsidP="00F048D5">
      <w:pPr>
        <w:jc w:val="both"/>
      </w:pPr>
      <w:r w:rsidRPr="00623C67">
        <w:t>consente di ottenere dei risultati superiori rispetto al non seguirli (risultati che la ricerca, oggi, conferma come statisticamente significativi, ovvero non ascrivibili al caso, ma proprio al loro impiego).</w:t>
      </w:r>
    </w:p>
    <w:p w:rsidR="00623C67" w:rsidRPr="00623C67" w:rsidRDefault="00623C67" w:rsidP="00F048D5">
      <w:pPr>
        <w:jc w:val="both"/>
      </w:pPr>
    </w:p>
    <w:p w:rsidR="00623C67" w:rsidRPr="00623C67" w:rsidRDefault="00623C67" w:rsidP="00F048D5">
      <w:pPr>
        <w:keepNext/>
        <w:jc w:val="both"/>
        <w:rPr>
          <w:b/>
          <w:bCs/>
        </w:rPr>
      </w:pPr>
      <w:r w:rsidRPr="00623C67">
        <w:rPr>
          <w:b/>
          <w:bCs/>
        </w:rPr>
        <w:t>Per un uso “ecologico” della LIM</w:t>
      </w:r>
    </w:p>
    <w:p w:rsidR="00623C67" w:rsidRPr="00623C67" w:rsidRDefault="00623C67" w:rsidP="00F048D5">
      <w:pPr>
        <w:keepNext/>
        <w:jc w:val="both"/>
      </w:pPr>
      <w:r w:rsidRPr="00623C67">
        <w:t>Ovviamente la LIM può essere impiegata anche all’interno di architetture didattiche diverse da quella “espositiva” a cui questi princìpi sembrano occhieggiare</w:t>
      </w:r>
      <w:r w:rsidRPr="00623C67">
        <w:rPr>
          <w:vertAlign w:val="superscript"/>
        </w:rPr>
        <w:footnoteReference w:id="5"/>
      </w:r>
      <w:r w:rsidRPr="00623C67">
        <w:t xml:space="preserve">. Può per esempio favorire la scoperta guidata, la collaborazione e l’esposizione di lavori di gruppo. </w:t>
      </w:r>
    </w:p>
    <w:p w:rsidR="00623C67" w:rsidRPr="00623C67" w:rsidRDefault="00623C67" w:rsidP="00F048D5">
      <w:pPr>
        <w:jc w:val="both"/>
      </w:pPr>
      <w:r w:rsidRPr="00623C67">
        <w:t>La ricerca stessa di materiali multimediali (immagini, suoni, filmati) potrebbe essere svolta dagli studenti in maniera collaborativa. Quello che, invece, la ricerca contemporanea suggerisce, è che sia l’insegnante a governare in maniera decisa il processo istruttivo</w:t>
      </w:r>
      <w:r w:rsidRPr="00623C67">
        <w:rPr>
          <w:vertAlign w:val="superscript"/>
        </w:rPr>
        <w:footnoteReference w:id="6"/>
      </w:r>
      <w:r w:rsidRPr="00623C67">
        <w:t>. L’apprendimento può avvenire in molti modi diversi (e la LIM è in grado di supportarne le varie forme), ma le condizioni ottimali affinché ciò avvenga non possono che fare i conti con le caratteristiche e i limiti del sistema cognitivo umano. Da qui l’esigenza di rispettare l’ecologia complessiva della comunicazione didattica che, nel caso della LIM, significa soprattutto: impiegarla come strumento di lavoro integrato alle altre attività da svolgere nel tempo a disposizione; utilizzarla per il tempo necessario e per le cose opportune; usarla per consentire all’intera classe di partecipare, discutere e dialogare; utilizzarla per favorire il pensiero, la riflessione, la rielaborazione e la memorizzazione piuttosto che la superficiale stimolazione sensoriale o la promozione di attività (di gruppo o meno) scollegate da stringenti obiettivi di apprendimento.</w:t>
      </w:r>
    </w:p>
    <w:p w:rsidR="00623C67" w:rsidRPr="00623C67" w:rsidRDefault="00623C67" w:rsidP="00F048D5">
      <w:pPr>
        <w:rPr>
          <w:rStyle w:val="quadratino"/>
          <w:rFonts w:asciiTheme="minorHAnsi" w:hAnsiTheme="minorHAnsi" w:cstheme="minorBidi"/>
          <w:b/>
          <w:color w:val="auto"/>
          <w:sz w:val="24"/>
          <w:szCs w:val="24"/>
        </w:rPr>
      </w:pPr>
      <w:r>
        <w:br w:type="page"/>
      </w:r>
      <w:r w:rsidRPr="00623C67">
        <w:rPr>
          <w:b/>
        </w:rPr>
        <w:t>Bibliografia</w:t>
      </w:r>
    </w:p>
    <w:p w:rsidR="00623C67" w:rsidRDefault="00623C67" w:rsidP="00F048D5">
      <w:pPr>
        <w:pStyle w:val="03boxarticolo"/>
        <w:jc w:val="left"/>
        <w:rPr>
          <w:rStyle w:val="quadratino"/>
          <w:spacing w:val="0"/>
          <w:w w:val="100"/>
        </w:rPr>
      </w:pPr>
    </w:p>
    <w:p w:rsidR="00623C67" w:rsidRPr="00F048D5" w:rsidRDefault="00623C67" w:rsidP="00F048D5">
      <w:pPr>
        <w:pStyle w:val="03boxarticolo"/>
        <w:jc w:val="left"/>
        <w:rPr>
          <w:sz w:val="20"/>
          <w:szCs w:val="20"/>
        </w:rPr>
      </w:pPr>
      <w:r w:rsidRPr="00F048D5">
        <w:rPr>
          <w:sz w:val="20"/>
          <w:szCs w:val="20"/>
        </w:rPr>
        <w:t xml:space="preserve">Beeland W.D. (2002), </w:t>
      </w:r>
      <w:r w:rsidRPr="00F048D5">
        <w:rPr>
          <w:rStyle w:val="bibliografiacvo"/>
          <w:rFonts w:ascii="HelveticaNeue-MediumCondObl" w:hAnsi="HelveticaNeue-MediumCondObl" w:cs="HelveticaNeue-MediumCondObl"/>
          <w:sz w:val="20"/>
          <w:szCs w:val="20"/>
        </w:rPr>
        <w:t>Student Engagement, visual learning and technology: can interactive whiteboards help?,</w:t>
      </w:r>
      <w:r w:rsidRPr="00F048D5">
        <w:rPr>
          <w:sz w:val="20"/>
          <w:szCs w:val="20"/>
        </w:rPr>
        <w:t xml:space="preserve"> Annual conference of the association of Information Technology for teaching education, Dublino, Trinity College</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Bonaiuti G. (2009), </w:t>
      </w:r>
      <w:r w:rsidRPr="00F048D5">
        <w:rPr>
          <w:rStyle w:val="bibliografiacvo"/>
          <w:rFonts w:ascii="HelveticaNeue-MediumCondObl" w:hAnsi="HelveticaNeue-MediumCondObl" w:cs="HelveticaNeue-MediumCondObl"/>
          <w:sz w:val="20"/>
          <w:szCs w:val="20"/>
        </w:rPr>
        <w:t>Didattica attiva con la LIM. Metodologie, strumenti e materiali</w:t>
      </w:r>
      <w:r w:rsidRPr="00F048D5">
        <w:rPr>
          <w:sz w:val="20"/>
          <w:szCs w:val="20"/>
        </w:rPr>
        <w:t>, Erickson, Trento</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Bonaiuti G. (2011), </w:t>
      </w:r>
      <w:r w:rsidRPr="00F048D5">
        <w:rPr>
          <w:rStyle w:val="bibliografiacvo"/>
          <w:rFonts w:ascii="HelveticaNeue-MediumCondObl" w:hAnsi="HelveticaNeue-MediumCondObl" w:cs="HelveticaNeue-MediumCondObl"/>
          <w:sz w:val="20"/>
          <w:szCs w:val="20"/>
        </w:rPr>
        <w:t>Organizzatori grafici e apprendimento</w:t>
      </w:r>
      <w:r w:rsidRPr="00F048D5">
        <w:rPr>
          <w:sz w:val="20"/>
          <w:szCs w:val="20"/>
        </w:rPr>
        <w:t xml:space="preserve">. In A. Calvani, </w:t>
      </w:r>
      <w:r w:rsidRPr="00F048D5">
        <w:rPr>
          <w:rStyle w:val="bibliografiacvo"/>
          <w:rFonts w:ascii="HelveticaNeue-MediumCondObl" w:hAnsi="HelveticaNeue-MediumCondObl" w:cs="HelveticaNeue-MediumCondObl"/>
          <w:sz w:val="20"/>
          <w:szCs w:val="20"/>
        </w:rPr>
        <w:t>Principi di comunicazione visiva e multimediale. Fare didattica con le immagini</w:t>
      </w:r>
      <w:r w:rsidRPr="00F048D5">
        <w:rPr>
          <w:sz w:val="20"/>
          <w:szCs w:val="20"/>
        </w:rPr>
        <w:t xml:space="preserve">, Carocci, Roma, </w:t>
      </w:r>
      <w:r w:rsidRPr="00F048D5">
        <w:rPr>
          <w:sz w:val="20"/>
          <w:szCs w:val="20"/>
        </w:rPr>
        <w:br/>
        <w:t>pp. 75-128</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Calvani A. (2011), </w:t>
      </w:r>
      <w:r w:rsidRPr="00F048D5">
        <w:rPr>
          <w:rStyle w:val="bibliografiacvo"/>
          <w:rFonts w:ascii="HelveticaNeue-MediumCondObl" w:hAnsi="HelveticaNeue-MediumCondObl" w:cs="HelveticaNeue-MediumCondObl"/>
          <w:sz w:val="20"/>
          <w:szCs w:val="20"/>
        </w:rPr>
        <w:t>«Decision Making» nell’istruzione. «Evidence Based Education» e conoscenze sfidanti</w:t>
      </w:r>
      <w:r w:rsidRPr="00F048D5">
        <w:rPr>
          <w:sz w:val="20"/>
          <w:szCs w:val="20"/>
        </w:rPr>
        <w:t>. “ECPS Journal of Educational, Cultural and Psychological Studies”, (3), pp. 77-99. Retrieved from http://www.ledonline.it/ECPS-Journal/</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Clark R.C. (2008), </w:t>
      </w:r>
      <w:r w:rsidRPr="00F048D5">
        <w:rPr>
          <w:rStyle w:val="bibliografiacvo"/>
          <w:rFonts w:ascii="HelveticaNeue-MediumCondObl" w:hAnsi="HelveticaNeue-MediumCondObl" w:cs="HelveticaNeue-MediumCondObl"/>
          <w:sz w:val="20"/>
          <w:szCs w:val="20"/>
        </w:rPr>
        <w:t>Building Expertise. Cognitive Methods for Training and Performance Improvement</w:t>
      </w:r>
      <w:r w:rsidRPr="00F048D5">
        <w:rPr>
          <w:sz w:val="20"/>
          <w:szCs w:val="20"/>
        </w:rPr>
        <w:t>, Pfeiffer, San Francisco, CA</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Gillen J., Littleton K., Twiner A., Staarman J.K. &amp; Mercer N. (2008), </w:t>
      </w:r>
      <w:r w:rsidRPr="00F048D5">
        <w:rPr>
          <w:rStyle w:val="bibliografiacvo"/>
          <w:rFonts w:ascii="HelveticaNeue-MediumCondObl" w:hAnsi="HelveticaNeue-MediumCondObl" w:cs="HelveticaNeue-MediumCondObl"/>
          <w:sz w:val="20"/>
          <w:szCs w:val="20"/>
        </w:rPr>
        <w:t>Using the interactive whiteboard to resource continuity and support multimodal teaching in a primary science classroom</w:t>
      </w:r>
      <w:r w:rsidRPr="00F048D5">
        <w:rPr>
          <w:sz w:val="20"/>
          <w:szCs w:val="20"/>
        </w:rPr>
        <w:t>, “Journal of computer assisted learning”, 24(4), pp. 348-358</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Glover D., Miller D. (2001), </w:t>
      </w:r>
      <w:r w:rsidRPr="00F048D5">
        <w:rPr>
          <w:rStyle w:val="bibliografiacvo"/>
          <w:rFonts w:ascii="HelveticaNeue-MediumCondObl" w:hAnsi="HelveticaNeue-MediumCondObl" w:cs="HelveticaNeue-MediumCondObl"/>
          <w:sz w:val="20"/>
          <w:szCs w:val="20"/>
        </w:rPr>
        <w:t>Running with technology: the pedagogic impact of the large-scale introduction of interactive whiteboards in one secondary school</w:t>
      </w:r>
      <w:r w:rsidRPr="00F048D5">
        <w:rPr>
          <w:sz w:val="20"/>
          <w:szCs w:val="20"/>
        </w:rPr>
        <w:t>, “Technology, Pedagogy and Education”, 10(3), pp. 257-278</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Glover D., Miller D., Averis D., Door V. (2005), </w:t>
      </w:r>
      <w:r w:rsidRPr="00F048D5">
        <w:rPr>
          <w:rStyle w:val="bibliografiacvo"/>
          <w:rFonts w:ascii="HelveticaNeue-MediumCondObl" w:hAnsi="HelveticaNeue-MediumCondObl" w:cs="HelveticaNeue-MediumCondObl"/>
          <w:sz w:val="20"/>
          <w:szCs w:val="20"/>
        </w:rPr>
        <w:t>The interactive whiteboard: a literature survey</w:t>
      </w:r>
      <w:r w:rsidRPr="00F048D5">
        <w:rPr>
          <w:sz w:val="20"/>
          <w:szCs w:val="20"/>
        </w:rPr>
        <w:t>, “Technology, Pedagogy and Education”, 14(2), pp. 155-170</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Hall I. &amp; Higgins S. (2005), </w:t>
      </w:r>
      <w:r w:rsidRPr="00F048D5">
        <w:rPr>
          <w:rStyle w:val="bibliografiacvo"/>
          <w:rFonts w:ascii="HelveticaNeue-MediumCondObl" w:hAnsi="HelveticaNeue-MediumCondObl" w:cs="HelveticaNeue-MediumCondObl"/>
          <w:sz w:val="20"/>
          <w:szCs w:val="20"/>
        </w:rPr>
        <w:t>Primary school students’ perceptions of interactive whiteboards. “</w:t>
      </w:r>
      <w:r w:rsidRPr="00F048D5">
        <w:rPr>
          <w:sz w:val="20"/>
          <w:szCs w:val="20"/>
        </w:rPr>
        <w:t>Journal of computer assisted learning”, 21(2), pp. 102-117</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pacing w:val="-8"/>
          <w:sz w:val="20"/>
          <w:szCs w:val="20"/>
        </w:rPr>
        <w:t xml:space="preserve">Haydn T. (2011), </w:t>
      </w:r>
      <w:r w:rsidRPr="00F048D5">
        <w:rPr>
          <w:rStyle w:val="bibliografiacvo"/>
          <w:rFonts w:ascii="HelveticaNeue-MediumCondObl" w:hAnsi="HelveticaNeue-MediumCondObl" w:cs="HelveticaNeue-MediumCondObl"/>
          <w:spacing w:val="-8"/>
          <w:sz w:val="20"/>
          <w:szCs w:val="20"/>
        </w:rPr>
        <w:t>History teaching and ICT</w:t>
      </w:r>
      <w:r w:rsidRPr="00F048D5">
        <w:rPr>
          <w:spacing w:val="-8"/>
          <w:sz w:val="20"/>
          <w:szCs w:val="20"/>
        </w:rPr>
        <w:t xml:space="preserve">. </w:t>
      </w:r>
      <w:r w:rsidR="00F048D5" w:rsidRPr="00F048D5">
        <w:rPr>
          <w:spacing w:val="-8"/>
          <w:sz w:val="20"/>
          <w:szCs w:val="20"/>
        </w:rPr>
        <w:t xml:space="preserve"> </w:t>
      </w:r>
      <w:r w:rsidRPr="00F048D5">
        <w:rPr>
          <w:spacing w:val="-6"/>
          <w:sz w:val="20"/>
          <w:szCs w:val="20"/>
        </w:rPr>
        <w:t xml:space="preserve">In Davies I., </w:t>
      </w:r>
      <w:r w:rsidRPr="00F048D5">
        <w:rPr>
          <w:rStyle w:val="bibliografiacvo"/>
          <w:rFonts w:ascii="HelveticaNeue-MediumCondObl" w:hAnsi="HelveticaNeue-MediumCondObl" w:cs="HelveticaNeue-MediumCondObl"/>
          <w:spacing w:val="-6"/>
          <w:sz w:val="20"/>
          <w:szCs w:val="20"/>
        </w:rPr>
        <w:t>Debates in History Teaching,</w:t>
      </w:r>
      <w:r w:rsidRPr="00F048D5">
        <w:rPr>
          <w:spacing w:val="-6"/>
          <w:sz w:val="20"/>
          <w:szCs w:val="20"/>
        </w:rPr>
        <w:t xml:space="preserve"> </w:t>
      </w:r>
      <w:r w:rsidRPr="00F048D5">
        <w:rPr>
          <w:sz w:val="20"/>
          <w:szCs w:val="20"/>
        </w:rPr>
        <w:t>Routledge, New York, pp. 236-248</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Higgins S., Beauchamp G., Miller D. (2007), </w:t>
      </w:r>
      <w:r w:rsidRPr="00F048D5">
        <w:rPr>
          <w:rStyle w:val="bibliografiacvo"/>
          <w:rFonts w:ascii="HelveticaNeue-MediumCondObl" w:hAnsi="HelveticaNeue-MediumCondObl" w:cs="HelveticaNeue-MediumCondObl"/>
          <w:sz w:val="20"/>
          <w:szCs w:val="20"/>
        </w:rPr>
        <w:t>Reviewing the literature on interactive whiteboards</w:t>
      </w:r>
      <w:r w:rsidRPr="00F048D5">
        <w:rPr>
          <w:sz w:val="20"/>
          <w:szCs w:val="20"/>
        </w:rPr>
        <w:t>, “Learning, Media and Technology”, 32(3), p. 213</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rStyle w:val="quadratino"/>
          <w:spacing w:val="0"/>
          <w:w w:val="100"/>
          <w:sz w:val="20"/>
          <w:szCs w:val="20"/>
        </w:rPr>
      </w:pPr>
    </w:p>
    <w:p w:rsidR="00623C67" w:rsidRPr="00F048D5" w:rsidRDefault="00623C67" w:rsidP="00F048D5">
      <w:pPr>
        <w:pStyle w:val="03boxarticolo"/>
        <w:jc w:val="left"/>
        <w:rPr>
          <w:sz w:val="20"/>
          <w:szCs w:val="20"/>
        </w:rPr>
      </w:pPr>
      <w:r w:rsidRPr="00F048D5">
        <w:rPr>
          <w:sz w:val="20"/>
          <w:szCs w:val="20"/>
        </w:rPr>
        <w:t xml:space="preserve">Holmes K. (2009), </w:t>
      </w:r>
      <w:r w:rsidRPr="00F048D5">
        <w:rPr>
          <w:rStyle w:val="bibliografiacvo"/>
          <w:rFonts w:ascii="HelveticaNeue-MediumCondObl" w:hAnsi="HelveticaNeue-MediumCondObl" w:cs="HelveticaNeue-MediumCondObl"/>
          <w:sz w:val="20"/>
          <w:szCs w:val="20"/>
        </w:rPr>
        <w:t>Planning to teach with digital tools: Introducing the interactive whiteboard to pre-service secondary mathematics teachers</w:t>
      </w:r>
      <w:r w:rsidRPr="00F048D5">
        <w:rPr>
          <w:sz w:val="20"/>
          <w:szCs w:val="20"/>
        </w:rPr>
        <w:t>, “Australasian Journal of Educational Technology”, 25(3), pp. 1-13</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Kennewell S. &amp; Beauchamp G. (2003), </w:t>
      </w:r>
      <w:r w:rsidRPr="00F048D5">
        <w:rPr>
          <w:rStyle w:val="bibliografiacvo"/>
          <w:rFonts w:ascii="HelveticaNeue-MediumCondObl" w:hAnsi="HelveticaNeue-MediumCondObl" w:cs="HelveticaNeue-MediumCondObl"/>
          <w:sz w:val="20"/>
          <w:szCs w:val="20"/>
        </w:rPr>
        <w:t>The influence of a technology-rich classroom environment on elementary teachers’ pedagogy and children’s learning</w:t>
      </w:r>
      <w:r w:rsidRPr="00F048D5">
        <w:rPr>
          <w:sz w:val="20"/>
          <w:szCs w:val="20"/>
        </w:rPr>
        <w:t>, Australian Computer Society, Sydney, Australia, pp. 71-76</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Koehler M.J. &amp; Mishra P. (2009), </w:t>
      </w:r>
      <w:r w:rsidRPr="00F048D5">
        <w:rPr>
          <w:rStyle w:val="bibliografiacvo"/>
          <w:rFonts w:ascii="HelveticaNeue-MediumCondObl" w:hAnsi="HelveticaNeue-MediumCondObl" w:cs="HelveticaNeue-MediumCondObl"/>
          <w:sz w:val="20"/>
          <w:szCs w:val="20"/>
        </w:rPr>
        <w:t>What Is Technological Pedagogical Content Knowledge? “</w:t>
      </w:r>
      <w:r w:rsidRPr="00F048D5">
        <w:rPr>
          <w:sz w:val="20"/>
          <w:szCs w:val="20"/>
        </w:rPr>
        <w:t xml:space="preserve">Contemporary Issues in Technology and Teacher Education (CITE Journal)”, 9(1), </w:t>
      </w:r>
      <w:r w:rsidRPr="00F048D5">
        <w:rPr>
          <w:sz w:val="20"/>
          <w:szCs w:val="20"/>
        </w:rPr>
        <w:br/>
        <w:t>pp. 60-70</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Levy P. (2002), </w:t>
      </w:r>
      <w:r w:rsidRPr="00F048D5">
        <w:rPr>
          <w:rStyle w:val="bibliografiacvo"/>
          <w:rFonts w:ascii="HelveticaNeue-MediumCondObl" w:hAnsi="HelveticaNeue-MediumCondObl" w:cs="HelveticaNeue-MediumCondObl"/>
          <w:sz w:val="20"/>
          <w:szCs w:val="20"/>
        </w:rPr>
        <w:t>Interactive whiteboards in learning and teaching in two Sheffield schools: a developmental study</w:t>
      </w:r>
      <w:r w:rsidRPr="00F048D5">
        <w:rPr>
          <w:sz w:val="20"/>
          <w:szCs w:val="20"/>
        </w:rPr>
        <w:t>. “Department of Information Studies (DIS),” University of Sheffield</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Lewin C., Somekh B., Steadman S. (2008), </w:t>
      </w:r>
      <w:r w:rsidRPr="00F048D5">
        <w:rPr>
          <w:rStyle w:val="bibliografiacvo"/>
          <w:rFonts w:ascii="HelveticaNeue-MediumCondObl" w:hAnsi="HelveticaNeue-MediumCondObl" w:cs="HelveticaNeue-MediumCondObl"/>
          <w:sz w:val="20"/>
          <w:szCs w:val="20"/>
        </w:rPr>
        <w:t>Embedding interactive whiteboards in teaching and learning: The process of change in pedagogic practice</w:t>
      </w:r>
      <w:r w:rsidRPr="00F048D5">
        <w:rPr>
          <w:sz w:val="20"/>
          <w:szCs w:val="20"/>
        </w:rPr>
        <w:t>, “Education and Information Technologies”, 13(4), pp. 291-303</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Mayer R.E. (2009), </w:t>
      </w:r>
      <w:r w:rsidRPr="00F048D5">
        <w:rPr>
          <w:rStyle w:val="bibliografiacvo"/>
          <w:rFonts w:ascii="HelveticaNeue-MediumCondObl" w:hAnsi="HelveticaNeue-MediumCondObl" w:cs="HelveticaNeue-MediumCondObl"/>
          <w:sz w:val="20"/>
          <w:szCs w:val="20"/>
        </w:rPr>
        <w:t>Multimedia Learning</w:t>
      </w:r>
      <w:r w:rsidRPr="00F048D5">
        <w:rPr>
          <w:sz w:val="20"/>
          <w:szCs w:val="20"/>
        </w:rPr>
        <w:t>, Cambridge University Press, New York (2nd ed.)</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Mercer N., Hennessy S. &amp; Warwick P. (2010), </w:t>
      </w:r>
      <w:r w:rsidRPr="00F048D5">
        <w:rPr>
          <w:rStyle w:val="bibliografiacvo"/>
          <w:rFonts w:ascii="HelveticaNeue-MediumCondObl" w:hAnsi="HelveticaNeue-MediumCondObl" w:cs="HelveticaNeue-MediumCondObl"/>
          <w:sz w:val="20"/>
          <w:szCs w:val="20"/>
        </w:rPr>
        <w:t>Using interactive whiteboards to orchestrate classroom dialogue</w:t>
      </w:r>
      <w:r w:rsidRPr="00F048D5">
        <w:rPr>
          <w:sz w:val="20"/>
          <w:szCs w:val="20"/>
        </w:rPr>
        <w:t>, “Technology, Pedagogy and Education”, 19(2), pp. 195-209</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Rudd T. (2007), </w:t>
      </w:r>
      <w:r w:rsidRPr="00F048D5">
        <w:rPr>
          <w:rStyle w:val="bibliografiacvo"/>
          <w:rFonts w:ascii="HelveticaNeue-MediumCondObl" w:hAnsi="HelveticaNeue-MediumCondObl" w:cs="HelveticaNeue-MediumCondObl"/>
          <w:sz w:val="20"/>
          <w:szCs w:val="20"/>
        </w:rPr>
        <w:t>Interactive whiteboards, in the classroom</w:t>
      </w:r>
      <w:r w:rsidRPr="00F048D5">
        <w:rPr>
          <w:sz w:val="20"/>
          <w:szCs w:val="20"/>
        </w:rPr>
        <w:t>, Bristol (UK), Futurelab, http://www.futurelab.org.uk/resources/documents/other/whiteboards_report.pdf</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Schmid E.C. (2008), </w:t>
      </w:r>
      <w:r w:rsidRPr="00F048D5">
        <w:rPr>
          <w:rStyle w:val="bibliografiacvo"/>
          <w:rFonts w:ascii="HelveticaNeue-MediumCondObl" w:hAnsi="HelveticaNeue-MediumCondObl" w:cs="HelveticaNeue-MediumCondObl"/>
          <w:sz w:val="20"/>
          <w:szCs w:val="20"/>
        </w:rPr>
        <w:t>Potential pedagogical benefits and drawbacks of multimedia use in the English language classroom equipped with interactive whiteboard technology</w:t>
      </w:r>
      <w:r w:rsidRPr="00F048D5">
        <w:rPr>
          <w:sz w:val="20"/>
          <w:szCs w:val="20"/>
        </w:rPr>
        <w:t>. Computers &amp; Education, 51(4), pp. 1553-1568</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Schuck S., Kearney M. (2007), </w:t>
      </w:r>
      <w:r w:rsidRPr="00F048D5">
        <w:rPr>
          <w:rStyle w:val="bibliografiacvo"/>
          <w:rFonts w:ascii="HelveticaNeue-MediumCondObl" w:hAnsi="HelveticaNeue-MediumCondObl" w:cs="HelveticaNeue-MediumCondObl"/>
          <w:sz w:val="20"/>
          <w:szCs w:val="20"/>
        </w:rPr>
        <w:t>Exploring pedagogy with interactive whiteboards: A case study of six schools 2005-2006</w:t>
      </w:r>
      <w:r w:rsidRPr="00F048D5">
        <w:rPr>
          <w:sz w:val="20"/>
          <w:szCs w:val="20"/>
        </w:rPr>
        <w:t>, University of technology, Sydney</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Smith B. (2007), </w:t>
      </w:r>
      <w:r w:rsidRPr="00F048D5">
        <w:rPr>
          <w:rStyle w:val="bibliografiacvo"/>
          <w:rFonts w:ascii="HelveticaNeue-MediumCondObl" w:hAnsi="HelveticaNeue-MediumCondObl" w:cs="HelveticaNeue-MediumCondObl"/>
          <w:sz w:val="20"/>
          <w:szCs w:val="20"/>
        </w:rPr>
        <w:t>ICT: using presentation technology</w:t>
      </w:r>
      <w:r w:rsidRPr="00F048D5">
        <w:rPr>
          <w:sz w:val="20"/>
          <w:szCs w:val="20"/>
        </w:rPr>
        <w:t xml:space="preserve">. In Hunt M., </w:t>
      </w:r>
      <w:r w:rsidRPr="00F048D5">
        <w:rPr>
          <w:rStyle w:val="bibliografiacvo"/>
          <w:rFonts w:ascii="HelveticaNeue-MediumCondObl" w:hAnsi="HelveticaNeue-MediumCondObl" w:cs="HelveticaNeue-MediumCondObl"/>
          <w:sz w:val="20"/>
          <w:szCs w:val="20"/>
        </w:rPr>
        <w:t>A Practical Guide to Teaching History in the Secondary School</w:t>
      </w:r>
      <w:r w:rsidRPr="00F048D5">
        <w:rPr>
          <w:sz w:val="20"/>
          <w:szCs w:val="20"/>
        </w:rPr>
        <w:t>, Routledge, New York, pp. 90-98</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rStyle w:val="quadratino"/>
          <w:spacing w:val="0"/>
          <w:w w:val="100"/>
          <w:sz w:val="20"/>
          <w:szCs w:val="20"/>
        </w:rPr>
      </w:pPr>
    </w:p>
    <w:p w:rsidR="00623C67" w:rsidRPr="00F048D5" w:rsidRDefault="00623C67" w:rsidP="00F048D5">
      <w:pPr>
        <w:pStyle w:val="03boxarticolo"/>
        <w:jc w:val="left"/>
        <w:rPr>
          <w:sz w:val="20"/>
          <w:szCs w:val="20"/>
        </w:rPr>
      </w:pPr>
      <w:r w:rsidRPr="00F048D5">
        <w:rPr>
          <w:sz w:val="20"/>
          <w:szCs w:val="20"/>
        </w:rPr>
        <w:t xml:space="preserve">Smith F., Hardman F., Higgins S. (2006), </w:t>
      </w:r>
      <w:r w:rsidRPr="00F048D5">
        <w:rPr>
          <w:rStyle w:val="bibliografiacvo"/>
          <w:rFonts w:ascii="HelveticaNeue-MediumCondObl" w:hAnsi="HelveticaNeue-MediumCondObl" w:cs="HelveticaNeue-MediumCondObl"/>
          <w:sz w:val="20"/>
          <w:szCs w:val="20"/>
        </w:rPr>
        <w:t>The impact of interactive whiteboards on teacher-pupil interaction in the National Literacy and Numeracy Strategies</w:t>
      </w:r>
      <w:r w:rsidRPr="00F048D5">
        <w:rPr>
          <w:sz w:val="20"/>
          <w:szCs w:val="20"/>
        </w:rPr>
        <w:t>, “British Educational Research Journal”, 32(3), pp. 443-457</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Smith H.J., Higgins S., Wall K. &amp; Miller J. (2005), </w:t>
      </w:r>
      <w:r w:rsidRPr="00F048D5">
        <w:rPr>
          <w:rStyle w:val="bibliografiacvo"/>
          <w:rFonts w:ascii="HelveticaNeue-MediumCondObl" w:hAnsi="HelveticaNeue-MediumCondObl" w:cs="HelveticaNeue-MediumCondObl"/>
          <w:sz w:val="20"/>
          <w:szCs w:val="20"/>
        </w:rPr>
        <w:t>Interactive whiteboards: boon or bandwagon? A critical review of the literature</w:t>
      </w:r>
      <w:r w:rsidRPr="00F048D5">
        <w:rPr>
          <w:sz w:val="20"/>
          <w:szCs w:val="20"/>
        </w:rPr>
        <w:t>, “Journal of Computer Assisted Learning”, 21(2), pp. 91-101</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Smith L. (2008), </w:t>
      </w:r>
      <w:r w:rsidRPr="00F048D5">
        <w:rPr>
          <w:rStyle w:val="bibliografiacvo"/>
          <w:rFonts w:ascii="HelveticaNeue-MediumCondObl" w:hAnsi="HelveticaNeue-MediumCondObl" w:cs="HelveticaNeue-MediumCondObl"/>
          <w:sz w:val="20"/>
          <w:szCs w:val="20"/>
        </w:rPr>
        <w:t>An investigation into the effect of a NATE/Becta training programme on the use of interactive whiteboards in teaching and learning in Secondary English</w:t>
      </w:r>
      <w:r w:rsidRPr="00F048D5">
        <w:rPr>
          <w:sz w:val="20"/>
          <w:szCs w:val="20"/>
        </w:rPr>
        <w:t>, “English in Education”, 42(3), pp. 269-282</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Somekh B. &amp; Haldane M. (2006), </w:t>
      </w:r>
      <w:r w:rsidRPr="00F048D5">
        <w:rPr>
          <w:rStyle w:val="bibliografiacvo"/>
          <w:rFonts w:ascii="HelveticaNeue-MediumCondObl" w:hAnsi="HelveticaNeue-MediumCondObl" w:cs="HelveticaNeue-MediumCondObl"/>
          <w:sz w:val="20"/>
          <w:szCs w:val="20"/>
        </w:rPr>
        <w:t xml:space="preserve">How can interactive whiteboards contribute to pedagogic change? Learning from case studies in English primary schools 26th-30th June 2006 </w:t>
      </w:r>
      <w:r w:rsidRPr="00F048D5">
        <w:rPr>
          <w:sz w:val="20"/>
          <w:szCs w:val="20"/>
        </w:rPr>
        <w:t>in Ålesund, Norway</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Swan K., Kratcoski A., Schenker J. &amp; van ‘t Hooft M. (2010), </w:t>
      </w:r>
      <w:r w:rsidRPr="00F048D5">
        <w:rPr>
          <w:rStyle w:val="bibliografiacvo"/>
          <w:rFonts w:ascii="HelveticaNeue-MediumCondObl" w:hAnsi="HelveticaNeue-MediumCondObl" w:cs="HelveticaNeue-MediumCondObl"/>
          <w:sz w:val="20"/>
          <w:szCs w:val="20"/>
        </w:rPr>
        <w:t>Interactive Whiteboards and Student Achievement</w:t>
      </w:r>
      <w:r w:rsidRPr="00F048D5">
        <w:rPr>
          <w:sz w:val="20"/>
          <w:szCs w:val="20"/>
        </w:rPr>
        <w:t xml:space="preserve">. In Thomas M. &amp; Schmid E.C. (Eds.), </w:t>
      </w:r>
      <w:r w:rsidRPr="00F048D5">
        <w:rPr>
          <w:rStyle w:val="bibliografiacvo"/>
          <w:rFonts w:ascii="HelveticaNeue-MediumCondObl" w:hAnsi="HelveticaNeue-MediumCondObl" w:cs="HelveticaNeue-MediumCondObl"/>
          <w:sz w:val="20"/>
          <w:szCs w:val="20"/>
        </w:rPr>
        <w:t>Interactive whiteboards for Education and Training: Emerging Technologies and Applications. Hershey</w:t>
      </w:r>
      <w:r w:rsidRPr="00F048D5">
        <w:rPr>
          <w:sz w:val="20"/>
          <w:szCs w:val="20"/>
        </w:rPr>
        <w:t>, PA: IGI Global, pp. 131-143</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Sweller J. (2010), </w:t>
      </w:r>
      <w:r w:rsidRPr="00F048D5">
        <w:rPr>
          <w:rStyle w:val="bibliografiacvo"/>
          <w:rFonts w:ascii="HelveticaNeue-MediumCondObl" w:hAnsi="HelveticaNeue-MediumCondObl" w:cs="HelveticaNeue-MediumCondObl"/>
          <w:sz w:val="20"/>
          <w:szCs w:val="20"/>
        </w:rPr>
        <w:t>Cognitive Load Theory: Recent Theoretical Advances</w:t>
      </w:r>
      <w:r w:rsidRPr="00F048D5">
        <w:rPr>
          <w:sz w:val="20"/>
          <w:szCs w:val="20"/>
        </w:rPr>
        <w:t xml:space="preserve">, in Plass J.L., Moreno R., Brünken R. (eds.), </w:t>
      </w:r>
      <w:r w:rsidRPr="00F048D5">
        <w:rPr>
          <w:rStyle w:val="bibliografiacvo"/>
          <w:rFonts w:ascii="HelveticaNeue-MediumCondObl" w:hAnsi="HelveticaNeue-MediumCondObl" w:cs="HelveticaNeue-MediumCondObl"/>
          <w:sz w:val="20"/>
          <w:szCs w:val="20"/>
        </w:rPr>
        <w:t>Cognitive Load Theory</w:t>
      </w:r>
      <w:r w:rsidRPr="00F048D5">
        <w:rPr>
          <w:sz w:val="20"/>
          <w:szCs w:val="20"/>
        </w:rPr>
        <w:t>, Cambridge University Press, New York, pp. 29-47</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Tobias S. &amp; Duffy T.M. (2009), </w:t>
      </w:r>
      <w:r w:rsidRPr="00F048D5">
        <w:rPr>
          <w:rStyle w:val="bibliografiacvo"/>
          <w:rFonts w:ascii="HelveticaNeue-MediumCondObl" w:hAnsi="HelveticaNeue-MediumCondObl" w:cs="HelveticaNeue-MediumCondObl"/>
          <w:sz w:val="20"/>
          <w:szCs w:val="20"/>
        </w:rPr>
        <w:t>Constructivist instruction: success or failure?,</w:t>
      </w:r>
      <w:r w:rsidRPr="00F048D5">
        <w:rPr>
          <w:sz w:val="20"/>
          <w:szCs w:val="20"/>
        </w:rPr>
        <w:t xml:space="preserve"> Taylor &amp; Francis, New York, NY</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Türel Y.K. (2011), </w:t>
      </w:r>
      <w:r w:rsidRPr="00F048D5">
        <w:rPr>
          <w:rStyle w:val="bibliografiacvo"/>
          <w:rFonts w:ascii="HelveticaNeue-MediumCondObl" w:hAnsi="HelveticaNeue-MediumCondObl" w:cs="HelveticaNeue-MediumCondObl"/>
          <w:sz w:val="20"/>
          <w:szCs w:val="20"/>
        </w:rPr>
        <w:t>An interactive whiteboard student survey: Development, validity and reliability</w:t>
      </w:r>
      <w:r w:rsidRPr="00F048D5">
        <w:rPr>
          <w:sz w:val="20"/>
          <w:szCs w:val="20"/>
        </w:rPr>
        <w:t xml:space="preserve">, “Computers &amp; Education”, 57(4), </w:t>
      </w:r>
      <w:r w:rsidRPr="00F048D5">
        <w:rPr>
          <w:sz w:val="20"/>
          <w:szCs w:val="20"/>
        </w:rPr>
        <w:br/>
        <w:t>pp. 2441-2450</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Wall K., Higgins S. &amp; Smith H. (2005), </w:t>
      </w:r>
      <w:r w:rsidRPr="00F048D5">
        <w:rPr>
          <w:rStyle w:val="bibliografiacvo"/>
          <w:rFonts w:ascii="HelveticaNeue-MediumCondObl" w:hAnsi="HelveticaNeue-MediumCondObl" w:cs="HelveticaNeue-MediumCondObl"/>
          <w:sz w:val="20"/>
          <w:szCs w:val="20"/>
        </w:rPr>
        <w:t>“The visual helps me understand the complicated things”: pupil views of teaching and learning with interactive whiteboards</w:t>
      </w:r>
      <w:r w:rsidRPr="00F048D5">
        <w:rPr>
          <w:sz w:val="20"/>
          <w:szCs w:val="20"/>
        </w:rPr>
        <w:t xml:space="preserve">, “British Journal of Educational Technology, 36(5)”, </w:t>
      </w:r>
      <w:r w:rsidRPr="00F048D5">
        <w:rPr>
          <w:sz w:val="20"/>
          <w:szCs w:val="20"/>
        </w:rPr>
        <w:br/>
        <w:t>pp. 851-867</w:t>
      </w:r>
    </w:p>
    <w:p w:rsidR="00623C67" w:rsidRPr="00F048D5" w:rsidRDefault="00623C67" w:rsidP="00F048D5">
      <w:pPr>
        <w:pStyle w:val="03boxarticolo"/>
        <w:jc w:val="left"/>
        <w:rPr>
          <w:sz w:val="20"/>
          <w:szCs w:val="20"/>
        </w:rPr>
      </w:pPr>
    </w:p>
    <w:p w:rsidR="00623C67" w:rsidRPr="00F048D5" w:rsidRDefault="00623C67" w:rsidP="00F048D5">
      <w:pPr>
        <w:pStyle w:val="03boxarticolo"/>
        <w:jc w:val="left"/>
        <w:rPr>
          <w:sz w:val="20"/>
          <w:szCs w:val="20"/>
        </w:rPr>
      </w:pPr>
      <w:r w:rsidRPr="00F048D5">
        <w:rPr>
          <w:sz w:val="20"/>
          <w:szCs w:val="20"/>
        </w:rPr>
        <w:t xml:space="preserve">Wood R., Ashfield J. (2008), </w:t>
      </w:r>
      <w:r w:rsidRPr="00F048D5">
        <w:rPr>
          <w:rStyle w:val="bibliografiacvo"/>
          <w:rFonts w:ascii="HelveticaNeue-MediumCondObl" w:hAnsi="HelveticaNeue-MediumCondObl" w:cs="HelveticaNeue-MediumCondObl"/>
          <w:sz w:val="20"/>
          <w:szCs w:val="20"/>
        </w:rPr>
        <w:t>The use of the interactive whiteboard for creative teaching and learning in literacy and mathematics: a case study</w:t>
      </w:r>
      <w:r w:rsidRPr="00F048D5">
        <w:rPr>
          <w:sz w:val="20"/>
          <w:szCs w:val="20"/>
        </w:rPr>
        <w:t>, “British Journal of Educational Technology”, 39(1), pp. 84-96</w:t>
      </w:r>
    </w:p>
    <w:p w:rsidR="00623C67" w:rsidRDefault="00623C67" w:rsidP="00F048D5"/>
    <w:sectPr w:rsidR="00623C67" w:rsidSect="00623C67">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C67" w:rsidRDefault="00623C67" w:rsidP="00623C67">
      <w:r>
        <w:separator/>
      </w:r>
    </w:p>
  </w:endnote>
  <w:endnote w:type="continuationSeparator" w:id="0">
    <w:p w:rsidR="00623C67" w:rsidRDefault="00623C67" w:rsidP="0062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ZapfDingbatsITC">
    <w:altName w:val="Zapf Dingbats"/>
    <w:panose1 w:val="00000000000000000000"/>
    <w:charset w:val="02"/>
    <w:family w:val="auto"/>
    <w:notTrueType/>
    <w:pitch w:val="default"/>
  </w:font>
  <w:font w:name="NewAster-Italic">
    <w:panose1 w:val="00000000000000000000"/>
    <w:charset w:val="4D"/>
    <w:family w:val="auto"/>
    <w:notTrueType/>
    <w:pitch w:val="default"/>
    <w:sig w:usb0="00000003" w:usb1="00000000" w:usb2="00000000" w:usb3="00000000" w:csb0="00000001"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HelveticaNeue-Medium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8D5" w:rsidRDefault="00F048D5" w:rsidP="0067075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F048D5" w:rsidRDefault="00F048D5" w:rsidP="00F048D5">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8D5" w:rsidRDefault="00F048D5" w:rsidP="0067075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F048D5" w:rsidRDefault="00F048D5" w:rsidP="00F048D5">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C67" w:rsidRDefault="00623C67" w:rsidP="00623C67">
      <w:r>
        <w:separator/>
      </w:r>
    </w:p>
  </w:footnote>
  <w:footnote w:type="continuationSeparator" w:id="0">
    <w:p w:rsidR="00623C67" w:rsidRDefault="00623C67" w:rsidP="00623C67">
      <w:r>
        <w:continuationSeparator/>
      </w:r>
    </w:p>
  </w:footnote>
  <w:footnote w:id="1">
    <w:p w:rsidR="00623C67" w:rsidRPr="00F048D5" w:rsidRDefault="00623C67" w:rsidP="00623C67">
      <w:pPr>
        <w:rPr>
          <w:sz w:val="20"/>
          <w:szCs w:val="20"/>
        </w:rPr>
      </w:pPr>
      <w:r w:rsidRPr="00F048D5">
        <w:rPr>
          <w:sz w:val="20"/>
          <w:szCs w:val="20"/>
          <w:vertAlign w:val="superscript"/>
        </w:rPr>
        <w:footnoteRef/>
      </w:r>
      <w:r w:rsidR="00F048D5" w:rsidRPr="00F048D5">
        <w:rPr>
          <w:sz w:val="20"/>
          <w:szCs w:val="20"/>
        </w:rPr>
        <w:t xml:space="preserve"> </w:t>
      </w:r>
      <w:r w:rsidRPr="00F048D5">
        <w:rPr>
          <w:sz w:val="20"/>
          <w:szCs w:val="20"/>
        </w:rPr>
        <w:t>Nel Regno Unito, per esempio, la diffusione su larga scala delle LIM prende avvio nei primi anni del Duemila con il piano governativo “PSWE Whiteboard Expansion project”. Fino da subito l’arrivo delle lavagne nelle classi inglesi è stato accompagnato da osservazioni sistematiche e da estese e articolate indagini.</w:t>
      </w:r>
    </w:p>
    <w:p w:rsidR="00623C67" w:rsidRPr="00F048D5" w:rsidRDefault="00623C67" w:rsidP="00623C67">
      <w:pPr>
        <w:rPr>
          <w:sz w:val="20"/>
          <w:szCs w:val="20"/>
        </w:rPr>
      </w:pPr>
    </w:p>
  </w:footnote>
  <w:footnote w:id="2">
    <w:p w:rsidR="00623C67" w:rsidRPr="00F048D5" w:rsidRDefault="00623C67" w:rsidP="00623C67">
      <w:pPr>
        <w:rPr>
          <w:sz w:val="20"/>
          <w:szCs w:val="20"/>
        </w:rPr>
      </w:pPr>
      <w:r w:rsidRPr="00F048D5">
        <w:rPr>
          <w:sz w:val="20"/>
          <w:szCs w:val="20"/>
          <w:vertAlign w:val="superscript"/>
        </w:rPr>
        <w:footnoteRef/>
      </w:r>
      <w:r w:rsidR="00F048D5" w:rsidRPr="00F048D5">
        <w:rPr>
          <w:sz w:val="20"/>
          <w:szCs w:val="20"/>
        </w:rPr>
        <w:t xml:space="preserve"> </w:t>
      </w:r>
      <w:r w:rsidRPr="00F048D5">
        <w:rPr>
          <w:sz w:val="20"/>
          <w:szCs w:val="20"/>
        </w:rPr>
        <w:t>È utile precisare, anche se non è un fatto di per sé discriminante, che i lavori pubblicati riguardano principalmente gli insegnanti della diverse aree disciplinari della scuola primaria (questo perché, negli altri come nel nostro paese, la diffusione delle LIM, e quindi le esperienze studiate, hanno interessato primariamente quest’ordine di scuola).</w:t>
      </w:r>
    </w:p>
    <w:p w:rsidR="00623C67" w:rsidRDefault="00623C67" w:rsidP="00623C67"/>
  </w:footnote>
  <w:footnote w:id="3">
    <w:p w:rsidR="00623C67" w:rsidRPr="00F048D5" w:rsidRDefault="00623C67" w:rsidP="00623C67">
      <w:pPr>
        <w:rPr>
          <w:sz w:val="20"/>
          <w:szCs w:val="20"/>
        </w:rPr>
      </w:pPr>
      <w:r>
        <w:rPr>
          <w:vertAlign w:val="superscript"/>
        </w:rPr>
        <w:footnoteRef/>
      </w:r>
      <w:r w:rsidR="00F048D5">
        <w:t xml:space="preserve"> </w:t>
      </w:r>
      <w:r w:rsidRPr="00F048D5">
        <w:rPr>
          <w:sz w:val="20"/>
          <w:szCs w:val="20"/>
        </w:rPr>
        <w:t>Di ambienti di condivisione di materiali ed esperienze ne esistono numerosi anche in lingua italiana. Si può iniziare consultando il sito Innovascuola, promosso dal Ministero dell’Istruzione (</w:t>
      </w:r>
      <w:hyperlink r:id="rId1" w:history="1">
        <w:r w:rsidR="00F048D5" w:rsidRPr="00670759">
          <w:rPr>
            <w:rStyle w:val="Collegamentoipertestuale"/>
            <w:sz w:val="20"/>
            <w:szCs w:val="20"/>
          </w:rPr>
          <w:t>http://www.innovascuola.gov.i</w:t>
        </w:r>
      </w:hyperlink>
      <w:r w:rsidR="00F048D5">
        <w:rPr>
          <w:sz w:val="20"/>
          <w:szCs w:val="20"/>
        </w:rPr>
        <w:t>t</w:t>
      </w:r>
      <w:r w:rsidRPr="00F048D5">
        <w:rPr>
          <w:sz w:val="20"/>
          <w:szCs w:val="20"/>
        </w:rPr>
        <w:t>) e passare poi alla consultazione delle risorse sviluppate dalle “comunità” degli utilizzatori dei diversi tipi di lavagne: SMART (</w:t>
      </w:r>
      <w:hyperlink r:id="rId2" w:history="1">
        <w:r w:rsidR="00F048D5" w:rsidRPr="00670759">
          <w:rPr>
            <w:rStyle w:val="Collegamentoipertestuale"/>
            <w:sz w:val="20"/>
            <w:szCs w:val="20"/>
          </w:rPr>
          <w:t>http://exchange.smarttech.com/</w:t>
        </w:r>
      </w:hyperlink>
      <w:r w:rsidRPr="00F048D5">
        <w:rPr>
          <w:sz w:val="20"/>
          <w:szCs w:val="20"/>
        </w:rPr>
        <w:t>), Promethean (</w:t>
      </w:r>
      <w:hyperlink r:id="rId3" w:history="1">
        <w:r w:rsidR="00F048D5" w:rsidRPr="00670759">
          <w:rPr>
            <w:rStyle w:val="Collegamentoipertestuale"/>
            <w:sz w:val="20"/>
            <w:szCs w:val="20"/>
          </w:rPr>
          <w:t>http://www.prometheanplanet.com/it/</w:t>
        </w:r>
      </w:hyperlink>
      <w:r w:rsidRPr="00F048D5">
        <w:rPr>
          <w:sz w:val="20"/>
          <w:szCs w:val="20"/>
        </w:rPr>
        <w:t>), Interwrite (</w:t>
      </w:r>
      <w:hyperlink r:id="rId4" w:history="1">
        <w:r w:rsidR="00F048D5" w:rsidRPr="00670759">
          <w:rPr>
            <w:rStyle w:val="Collegamentoipertestuale"/>
            <w:sz w:val="20"/>
            <w:szCs w:val="20"/>
          </w:rPr>
          <w:t>http://www.einstruction.it/eicommunity/</w:t>
        </w:r>
      </w:hyperlink>
      <w:r w:rsidRPr="00F048D5">
        <w:rPr>
          <w:sz w:val="20"/>
          <w:szCs w:val="20"/>
        </w:rPr>
        <w:t>). Anche gli editori forniscono interessanti materiali di supporto, si veda per esempio il sito di Bruno Mondadori (</w:t>
      </w:r>
      <w:hyperlink r:id="rId5" w:history="1">
        <w:r w:rsidR="00F048D5" w:rsidRPr="00670759">
          <w:rPr>
            <w:rStyle w:val="Collegamentoipertestuale"/>
            <w:sz w:val="20"/>
            <w:szCs w:val="20"/>
          </w:rPr>
          <w:t>http://brunomondadoristoria.it/</w:t>
        </w:r>
      </w:hyperlink>
      <w:r w:rsidRPr="00F048D5">
        <w:rPr>
          <w:sz w:val="20"/>
          <w:szCs w:val="20"/>
        </w:rPr>
        <w:t>). A quanti non hanno problemi con l’inglese, la consultazione del sito internazionale di ogni produttore fornisce ovviamente un mondo ancora più ricco di risorse interattive.</w:t>
      </w:r>
    </w:p>
    <w:p w:rsidR="00623C67" w:rsidRDefault="00623C67" w:rsidP="00623C67"/>
  </w:footnote>
  <w:footnote w:id="4">
    <w:p w:rsidR="00623C67" w:rsidRPr="00F048D5" w:rsidRDefault="00623C67" w:rsidP="00623C67">
      <w:pPr>
        <w:rPr>
          <w:sz w:val="20"/>
          <w:szCs w:val="20"/>
        </w:rPr>
      </w:pPr>
      <w:r w:rsidRPr="00F048D5">
        <w:rPr>
          <w:sz w:val="20"/>
          <w:szCs w:val="20"/>
          <w:vertAlign w:val="superscript"/>
        </w:rPr>
        <w:footnoteRef/>
      </w:r>
      <w:r w:rsidR="00F048D5" w:rsidRPr="00F048D5">
        <w:rPr>
          <w:sz w:val="20"/>
          <w:szCs w:val="20"/>
        </w:rPr>
        <w:t xml:space="preserve"> </w:t>
      </w:r>
      <w:r w:rsidRPr="00F048D5">
        <w:rPr>
          <w:sz w:val="20"/>
          <w:szCs w:val="20"/>
        </w:rPr>
        <w:t>In Internet sono reperibili con facilità tutte le risorse dell’esemplificazione sopra riportata. Può essere sufficiente mezz’ora di tempo prima della lezione per raccoglierle. Ovviamente tale lavoro verrà ripagato soprattutto negli anni successivi al primo se si avrà la capacità di catalogare e conservare accuratamente il materiale.</w:t>
      </w:r>
    </w:p>
    <w:p w:rsidR="00623C67" w:rsidRDefault="00623C67" w:rsidP="00623C67"/>
  </w:footnote>
  <w:footnote w:id="5">
    <w:p w:rsidR="00623C67" w:rsidRPr="00F048D5" w:rsidRDefault="00623C67" w:rsidP="00623C67">
      <w:pPr>
        <w:rPr>
          <w:sz w:val="20"/>
          <w:szCs w:val="20"/>
        </w:rPr>
      </w:pPr>
      <w:r w:rsidRPr="00F048D5">
        <w:rPr>
          <w:sz w:val="20"/>
          <w:szCs w:val="20"/>
          <w:vertAlign w:val="superscript"/>
        </w:rPr>
        <w:footnoteRef/>
      </w:r>
      <w:r w:rsidR="00F048D5" w:rsidRPr="00F048D5">
        <w:rPr>
          <w:sz w:val="20"/>
          <w:szCs w:val="20"/>
        </w:rPr>
        <w:t xml:space="preserve"> </w:t>
      </w:r>
      <w:r w:rsidRPr="00F048D5">
        <w:rPr>
          <w:sz w:val="20"/>
          <w:szCs w:val="20"/>
        </w:rPr>
        <w:t xml:space="preserve">Nel testo </w:t>
      </w:r>
      <w:r w:rsidRPr="00F048D5">
        <w:rPr>
          <w:rFonts w:ascii="HelveticaNeue-LightCondObl" w:hAnsi="HelveticaNeue-LightCondObl" w:cs="HelveticaNeue-LightCondObl"/>
          <w:sz w:val="20"/>
          <w:szCs w:val="20"/>
        </w:rPr>
        <w:t>Didattica attiva con la LIM</w:t>
      </w:r>
      <w:r w:rsidRPr="00F048D5">
        <w:rPr>
          <w:sz w:val="20"/>
          <w:szCs w:val="20"/>
        </w:rPr>
        <w:t xml:space="preserve"> ho, per esempio, adottato lo schema della Clark (2008) che prevede quattro distinte modalità didattiche (trasmissiva/recettiva, direttiva, a scoperta guidata, collaborativa).</w:t>
      </w:r>
    </w:p>
    <w:p w:rsidR="00623C67" w:rsidRPr="00F048D5" w:rsidRDefault="00623C67" w:rsidP="00623C67">
      <w:pPr>
        <w:rPr>
          <w:sz w:val="20"/>
          <w:szCs w:val="20"/>
        </w:rPr>
      </w:pPr>
    </w:p>
  </w:footnote>
  <w:footnote w:id="6">
    <w:p w:rsidR="00623C67" w:rsidRPr="00F048D5" w:rsidRDefault="00623C67" w:rsidP="00623C67">
      <w:pPr>
        <w:rPr>
          <w:sz w:val="20"/>
          <w:szCs w:val="20"/>
        </w:rPr>
      </w:pPr>
      <w:r w:rsidRPr="00F048D5">
        <w:rPr>
          <w:sz w:val="20"/>
          <w:szCs w:val="20"/>
          <w:vertAlign w:val="superscript"/>
        </w:rPr>
        <w:footnoteRef/>
      </w:r>
      <w:r w:rsidR="00F048D5" w:rsidRPr="00F048D5">
        <w:rPr>
          <w:sz w:val="20"/>
          <w:szCs w:val="20"/>
        </w:rPr>
        <w:t xml:space="preserve"> </w:t>
      </w:r>
      <w:r w:rsidRPr="00F048D5">
        <w:rPr>
          <w:sz w:val="20"/>
          <w:szCs w:val="20"/>
        </w:rPr>
        <w:t>In particolare è utile sottolineare come, recentemente, sono state sollevate critiche a un certo modo di intendere il costruttivismo (Tobias e Duffy, 2009). Il costruttivismo, come noto, parte dall’idea che l’apprendimento sia un processo attivo di costruzione di conoscenza. Per questo alcuni autori, negli ultimi venti anni, hanno suggerito l’abbandono di modelli didattici strutturati a favore di modelli più aperti, dove l’insegnare significa sostanzialmente fornire stimoli e risorse affinché gli studenti pervengano alla scoperta e alla costruzione autonoma dei loro contenuti di apprendimento. La ricerca indica come non ci siano prove che tutto questo funzioni, né tanto meno, che lo faccia in maniera migliore rispetto a modelli più tradizionali.</w:t>
      </w:r>
    </w:p>
    <w:p w:rsidR="00623C67" w:rsidRDefault="00623C67" w:rsidP="00623C6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C67"/>
    <w:rsid w:val="00623C67"/>
    <w:rsid w:val="00A67858"/>
    <w:rsid w:val="00F048D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23C67"/>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623C67"/>
    <w:rPr>
      <w:rFonts w:ascii="Lucida Grande" w:hAnsi="Lucida Grande"/>
      <w:sz w:val="18"/>
      <w:szCs w:val="18"/>
    </w:rPr>
  </w:style>
  <w:style w:type="paragraph" w:customStyle="1" w:styleId="0INTRODOCENTE">
    <w:name w:val="0 INTRO DOCENTE"/>
    <w:basedOn w:val="Normale"/>
    <w:uiPriority w:val="99"/>
    <w:rsid w:val="00623C67"/>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paragraph" w:customStyle="1" w:styleId="03boxarticolo">
    <w:name w:val="03 box articolo"/>
    <w:basedOn w:val="Normale"/>
    <w:uiPriority w:val="99"/>
    <w:rsid w:val="00623C67"/>
    <w:pPr>
      <w:widowControl w:val="0"/>
      <w:tabs>
        <w:tab w:val="left" w:pos="227"/>
        <w:tab w:val="left" w:pos="3020"/>
      </w:tabs>
      <w:autoSpaceDE w:val="0"/>
      <w:autoSpaceDN w:val="0"/>
      <w:adjustRightInd w:val="0"/>
      <w:spacing w:line="200" w:lineRule="atLeast"/>
      <w:jc w:val="both"/>
      <w:textAlignment w:val="center"/>
    </w:pPr>
    <w:rPr>
      <w:rFonts w:ascii="HelveticaNeue-LightCond" w:hAnsi="HelveticaNeue-LightCond" w:cs="HelveticaNeue-LightCond"/>
      <w:color w:val="000000"/>
      <w:spacing w:val="2"/>
      <w:w w:val="90"/>
      <w:sz w:val="19"/>
      <w:szCs w:val="19"/>
    </w:rPr>
  </w:style>
  <w:style w:type="character" w:customStyle="1" w:styleId="quadratino">
    <w:name w:val="quadratino"/>
    <w:uiPriority w:val="99"/>
    <w:rsid w:val="00623C67"/>
    <w:rPr>
      <w:rFonts w:ascii="ZapfDingbatsITC" w:hAnsi="ZapfDingbatsITC" w:cs="ZapfDingbatsITC"/>
      <w:color w:val="00FFFF"/>
      <w:sz w:val="10"/>
      <w:szCs w:val="10"/>
    </w:rPr>
  </w:style>
  <w:style w:type="character" w:customStyle="1" w:styleId="bibliografiacvo">
    <w:name w:val="bibliografia c.vo"/>
    <w:uiPriority w:val="99"/>
    <w:rsid w:val="00623C67"/>
    <w:rPr>
      <w:rFonts w:ascii="NewAster-Italic" w:hAnsi="NewAster-Italic" w:cs="NewAster-Italic"/>
      <w:i/>
      <w:iCs/>
    </w:rPr>
  </w:style>
  <w:style w:type="character" w:styleId="Collegamentoipertestuale">
    <w:name w:val="Hyperlink"/>
    <w:basedOn w:val="Caratterepredefinitoparagrafo"/>
    <w:uiPriority w:val="99"/>
    <w:unhideWhenUsed/>
    <w:rsid w:val="00F048D5"/>
    <w:rPr>
      <w:color w:val="0000FF" w:themeColor="hyperlink"/>
      <w:u w:val="single"/>
    </w:rPr>
  </w:style>
  <w:style w:type="paragraph" w:styleId="Pidipagina">
    <w:name w:val="footer"/>
    <w:basedOn w:val="Normale"/>
    <w:link w:val="PidipaginaCarattere"/>
    <w:uiPriority w:val="99"/>
    <w:unhideWhenUsed/>
    <w:rsid w:val="00F048D5"/>
    <w:pPr>
      <w:tabs>
        <w:tab w:val="center" w:pos="4819"/>
        <w:tab w:val="right" w:pos="9638"/>
      </w:tabs>
    </w:pPr>
  </w:style>
  <w:style w:type="character" w:customStyle="1" w:styleId="PidipaginaCarattere">
    <w:name w:val="Piè di pagina Carattere"/>
    <w:basedOn w:val="Caratterepredefinitoparagrafo"/>
    <w:link w:val="Pidipagina"/>
    <w:uiPriority w:val="99"/>
    <w:rsid w:val="00F048D5"/>
  </w:style>
  <w:style w:type="character" w:styleId="Numeropagina">
    <w:name w:val="page number"/>
    <w:basedOn w:val="Caratterepredefinitoparagrafo"/>
    <w:uiPriority w:val="99"/>
    <w:semiHidden/>
    <w:unhideWhenUsed/>
    <w:rsid w:val="00F048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23C67"/>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623C67"/>
    <w:rPr>
      <w:rFonts w:ascii="Lucida Grande" w:hAnsi="Lucida Grande"/>
      <w:sz w:val="18"/>
      <w:szCs w:val="18"/>
    </w:rPr>
  </w:style>
  <w:style w:type="paragraph" w:customStyle="1" w:styleId="0INTRODOCENTE">
    <w:name w:val="0 INTRO DOCENTE"/>
    <w:basedOn w:val="Normale"/>
    <w:uiPriority w:val="99"/>
    <w:rsid w:val="00623C67"/>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paragraph" w:customStyle="1" w:styleId="03boxarticolo">
    <w:name w:val="03 box articolo"/>
    <w:basedOn w:val="Normale"/>
    <w:uiPriority w:val="99"/>
    <w:rsid w:val="00623C67"/>
    <w:pPr>
      <w:widowControl w:val="0"/>
      <w:tabs>
        <w:tab w:val="left" w:pos="227"/>
        <w:tab w:val="left" w:pos="3020"/>
      </w:tabs>
      <w:autoSpaceDE w:val="0"/>
      <w:autoSpaceDN w:val="0"/>
      <w:adjustRightInd w:val="0"/>
      <w:spacing w:line="200" w:lineRule="atLeast"/>
      <w:jc w:val="both"/>
      <w:textAlignment w:val="center"/>
    </w:pPr>
    <w:rPr>
      <w:rFonts w:ascii="HelveticaNeue-LightCond" w:hAnsi="HelveticaNeue-LightCond" w:cs="HelveticaNeue-LightCond"/>
      <w:color w:val="000000"/>
      <w:spacing w:val="2"/>
      <w:w w:val="90"/>
      <w:sz w:val="19"/>
      <w:szCs w:val="19"/>
    </w:rPr>
  </w:style>
  <w:style w:type="character" w:customStyle="1" w:styleId="quadratino">
    <w:name w:val="quadratino"/>
    <w:uiPriority w:val="99"/>
    <w:rsid w:val="00623C67"/>
    <w:rPr>
      <w:rFonts w:ascii="ZapfDingbatsITC" w:hAnsi="ZapfDingbatsITC" w:cs="ZapfDingbatsITC"/>
      <w:color w:val="00FFFF"/>
      <w:sz w:val="10"/>
      <w:szCs w:val="10"/>
    </w:rPr>
  </w:style>
  <w:style w:type="character" w:customStyle="1" w:styleId="bibliografiacvo">
    <w:name w:val="bibliografia c.vo"/>
    <w:uiPriority w:val="99"/>
    <w:rsid w:val="00623C67"/>
    <w:rPr>
      <w:rFonts w:ascii="NewAster-Italic" w:hAnsi="NewAster-Italic" w:cs="NewAster-Italic"/>
      <w:i/>
      <w:iCs/>
    </w:rPr>
  </w:style>
  <w:style w:type="character" w:styleId="Collegamentoipertestuale">
    <w:name w:val="Hyperlink"/>
    <w:basedOn w:val="Caratterepredefinitoparagrafo"/>
    <w:uiPriority w:val="99"/>
    <w:unhideWhenUsed/>
    <w:rsid w:val="00F048D5"/>
    <w:rPr>
      <w:color w:val="0000FF" w:themeColor="hyperlink"/>
      <w:u w:val="single"/>
    </w:rPr>
  </w:style>
  <w:style w:type="paragraph" w:styleId="Pidipagina">
    <w:name w:val="footer"/>
    <w:basedOn w:val="Normale"/>
    <w:link w:val="PidipaginaCarattere"/>
    <w:uiPriority w:val="99"/>
    <w:unhideWhenUsed/>
    <w:rsid w:val="00F048D5"/>
    <w:pPr>
      <w:tabs>
        <w:tab w:val="center" w:pos="4819"/>
        <w:tab w:val="right" w:pos="9638"/>
      </w:tabs>
    </w:pPr>
  </w:style>
  <w:style w:type="character" w:customStyle="1" w:styleId="PidipaginaCarattere">
    <w:name w:val="Piè di pagina Carattere"/>
    <w:basedOn w:val="Caratterepredefinitoparagrafo"/>
    <w:link w:val="Pidipagina"/>
    <w:uiPriority w:val="99"/>
    <w:rsid w:val="00F048D5"/>
  </w:style>
  <w:style w:type="character" w:styleId="Numeropagina">
    <w:name w:val="page number"/>
    <w:basedOn w:val="Caratterepredefinitoparagrafo"/>
    <w:uiPriority w:val="99"/>
    <w:semiHidden/>
    <w:unhideWhenUsed/>
    <w:rsid w:val="00F04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footnotes.xml.rels><?xml version="1.0" encoding="UTF-8" standalone="yes"?>
<Relationships xmlns="http://schemas.openxmlformats.org/package/2006/relationships"><Relationship Id="rId3" Type="http://schemas.openxmlformats.org/officeDocument/2006/relationships/hyperlink" Target="http://www.prometheanplanet.com/it/" TargetMode="External"/><Relationship Id="rId4" Type="http://schemas.openxmlformats.org/officeDocument/2006/relationships/hyperlink" Target="http://www.einstruction.it/eicommunity/" TargetMode="External"/><Relationship Id="rId5" Type="http://schemas.openxmlformats.org/officeDocument/2006/relationships/hyperlink" Target="http://brunomondadoristoria.it/" TargetMode="External"/><Relationship Id="rId1" Type="http://schemas.openxmlformats.org/officeDocument/2006/relationships/hyperlink" Target="http://www.innovascuola.gov.i" TargetMode="External"/><Relationship Id="rId2" Type="http://schemas.openxmlformats.org/officeDocument/2006/relationships/hyperlink" Target="http://exchange.smarttech.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4866</Words>
  <Characters>27742</Characters>
  <Application>Microsoft Macintosh Word</Application>
  <DocSecurity>0</DocSecurity>
  <Lines>231</Lines>
  <Paragraphs>65</Paragraphs>
  <ScaleCrop>false</ScaleCrop>
  <Company/>
  <LinksUpToDate>false</LinksUpToDate>
  <CharactersWithSpaces>32543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2012-05-03T14:45:00Z</dcterms:created>
  <dcterms:modified xsi:type="dcterms:W3CDTF">2012-05-03T15:05:00Z</dcterms:modified>
</cp:coreProperties>
</file>