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C8C" w:rsidRPr="004A0C8C" w:rsidRDefault="004A0C8C" w:rsidP="004A0C8C">
      <w:r w:rsidRPr="004A0C8C">
        <w:t xml:space="preserve">Gabriele Barbati è corrispondente per Mediaset a Gerusalemme dal novembre 2011. Si occupa di Israele e Territori palestinesi, ma anche delle vicende degli altri paesi </w:t>
      </w:r>
      <w:proofErr w:type="gramStart"/>
      <w:r w:rsidRPr="004A0C8C">
        <w:t>dell’</w:t>
      </w:r>
      <w:proofErr w:type="gramEnd"/>
      <w:r w:rsidRPr="004A0C8C">
        <w:t>area, in modo particolare Egitto, Siria, Iran. Reporter Tv, cameraman e montatore, collabora anche con numerose testate periodiche. È stato corrispondente dalla Cina per SkyTg24 e Radio Popolare. Come giornalista ha lavorato anche in Corea del Sud, India, Indonesia e Pakistan.</w:t>
      </w:r>
    </w:p>
    <w:p w:rsidR="00A67858" w:rsidRDefault="00A67858"/>
    <w:p w:rsidR="004A0C8C" w:rsidRPr="004A0C8C" w:rsidRDefault="004A0C8C" w:rsidP="004A0C8C">
      <w:pPr>
        <w:jc w:val="center"/>
        <w:rPr>
          <w:b/>
          <w:bCs/>
          <w:sz w:val="28"/>
          <w:szCs w:val="28"/>
        </w:rPr>
      </w:pPr>
      <w:r w:rsidRPr="004A0C8C">
        <w:rPr>
          <w:b/>
          <w:bCs/>
          <w:sz w:val="28"/>
          <w:szCs w:val="28"/>
        </w:rPr>
        <w:t>STORIE DI GIUSTI</w:t>
      </w:r>
    </w:p>
    <w:p w:rsidR="004A0C8C" w:rsidRDefault="004A0C8C" w:rsidP="004A0C8C">
      <w:pPr>
        <w:jc w:val="center"/>
        <w:rPr>
          <w:sz w:val="28"/>
          <w:szCs w:val="28"/>
        </w:rPr>
      </w:pPr>
      <w:proofErr w:type="spellStart"/>
      <w:r w:rsidRPr="004A0C8C">
        <w:rPr>
          <w:sz w:val="28"/>
          <w:szCs w:val="28"/>
        </w:rPr>
        <w:t>Sardari</w:t>
      </w:r>
      <w:proofErr w:type="spellEnd"/>
      <w:r w:rsidRPr="004A0C8C">
        <w:rPr>
          <w:sz w:val="28"/>
          <w:szCs w:val="28"/>
        </w:rPr>
        <w:t>, lo Schindler iraniano</w:t>
      </w:r>
    </w:p>
    <w:p w:rsidR="004A0C8C" w:rsidRPr="004A0C8C" w:rsidRDefault="004A0C8C" w:rsidP="004A0C8C">
      <w:pPr>
        <w:jc w:val="center"/>
        <w:rPr>
          <w:sz w:val="28"/>
          <w:szCs w:val="28"/>
        </w:rPr>
      </w:pPr>
      <w:bookmarkStart w:id="0" w:name="_GoBack"/>
      <w:bookmarkEnd w:id="0"/>
    </w:p>
    <w:p w:rsidR="004A0C8C" w:rsidRDefault="004A0C8C" w:rsidP="004A0C8C"/>
    <w:p w:rsidR="004A0C8C" w:rsidRPr="004A0C8C" w:rsidRDefault="004A0C8C" w:rsidP="004A0C8C">
      <w:pPr>
        <w:rPr>
          <w:i/>
          <w:iCs/>
        </w:rPr>
      </w:pPr>
      <w:r w:rsidRPr="004A0C8C">
        <w:rPr>
          <w:i/>
          <w:iCs/>
        </w:rPr>
        <w:t xml:space="preserve">“[...] Parte dei sedici milioni di Iraniani, tutti fratelli e sorelle di medesima origine e appartenenti allo stesso gruppo razziale, </w:t>
      </w:r>
      <w:proofErr w:type="gramStart"/>
      <w:r w:rsidRPr="004A0C8C">
        <w:rPr>
          <w:i/>
          <w:iCs/>
        </w:rPr>
        <w:t>sono</w:t>
      </w:r>
      <w:proofErr w:type="gramEnd"/>
      <w:r w:rsidRPr="004A0C8C">
        <w:rPr>
          <w:i/>
          <w:iCs/>
        </w:rPr>
        <w:t xml:space="preserve"> dei convertiti alla religione Mosaica [...] Le abitudini, la morale e le tradizioni dei Mosaici Iraniani sono indistinguibili da quelle dei Musulmani Iraniani [... essi] possono seguire un diverso credo spirituale, ma le loro facce sono ovali, dai tratti ben distribuiti, con fronti leggermente basse e nasi dritti, labbra rosse o marrone chiaro spesso sottili, e il più delle volte occhi blu.</w:t>
      </w:r>
      <w:proofErr w:type="gramStart"/>
      <w:r w:rsidRPr="004A0C8C">
        <w:rPr>
          <w:i/>
          <w:iCs/>
        </w:rPr>
        <w:t>”</w:t>
      </w:r>
      <w:proofErr w:type="gramEnd"/>
      <w:r w:rsidRPr="004A0C8C">
        <w:rPr>
          <w:i/>
          <w:iCs/>
        </w:rPr>
        <w:t xml:space="preserve"> </w:t>
      </w:r>
    </w:p>
    <w:p w:rsidR="004A0C8C" w:rsidRPr="004A0C8C" w:rsidRDefault="004A0C8C" w:rsidP="004A0C8C">
      <w:proofErr w:type="gramStart"/>
      <w:r w:rsidRPr="004A0C8C">
        <w:t>dalla</w:t>
      </w:r>
      <w:proofErr w:type="gramEnd"/>
      <w:r w:rsidRPr="004A0C8C">
        <w:t xml:space="preserve"> lettera di </w:t>
      </w:r>
      <w:proofErr w:type="spellStart"/>
      <w:r w:rsidRPr="004A0C8C">
        <w:t>Abdol-Hossein</w:t>
      </w:r>
      <w:proofErr w:type="spellEnd"/>
      <w:r w:rsidRPr="004A0C8C">
        <w:t xml:space="preserve"> </w:t>
      </w:r>
      <w:proofErr w:type="spellStart"/>
      <w:r w:rsidRPr="004A0C8C">
        <w:t>Sardari</w:t>
      </w:r>
      <w:proofErr w:type="spellEnd"/>
      <w:r w:rsidRPr="004A0C8C">
        <w:t xml:space="preserve"> al segretario dell’Ambasciata tedesca a Parigi, </w:t>
      </w:r>
    </w:p>
    <w:p w:rsidR="004A0C8C" w:rsidRPr="004A0C8C" w:rsidRDefault="004A0C8C" w:rsidP="004A0C8C">
      <w:proofErr w:type="spellStart"/>
      <w:r w:rsidRPr="004A0C8C">
        <w:t>Krafft</w:t>
      </w:r>
      <w:proofErr w:type="spellEnd"/>
      <w:r w:rsidRPr="004A0C8C">
        <w:t xml:space="preserve"> von </w:t>
      </w:r>
      <w:proofErr w:type="spellStart"/>
      <w:r w:rsidRPr="004A0C8C">
        <w:t>Dellmensingen</w:t>
      </w:r>
      <w:proofErr w:type="spellEnd"/>
      <w:r w:rsidRPr="004A0C8C">
        <w:t xml:space="preserve">, datata 12 agosto </w:t>
      </w:r>
      <w:proofErr w:type="gramStart"/>
      <w:r w:rsidRPr="004A0C8C">
        <w:t>1942</w:t>
      </w:r>
      <w:proofErr w:type="gramEnd"/>
      <w:r w:rsidRPr="004A0C8C">
        <w:t xml:space="preserve"> </w:t>
      </w:r>
    </w:p>
    <w:p w:rsidR="004A0C8C" w:rsidRDefault="004A0C8C" w:rsidP="004A0C8C">
      <w:r w:rsidRPr="004A0C8C">
        <w:t xml:space="preserve">F. </w:t>
      </w:r>
      <w:proofErr w:type="spellStart"/>
      <w:r w:rsidRPr="004A0C8C">
        <w:t>Mokhtari</w:t>
      </w:r>
      <w:proofErr w:type="spellEnd"/>
      <w:r w:rsidRPr="004A0C8C">
        <w:t>,</w:t>
      </w:r>
      <w:r w:rsidRPr="004A0C8C">
        <w:rPr>
          <w:i/>
          <w:iCs/>
        </w:rPr>
        <w:t xml:space="preserve"> In the </w:t>
      </w:r>
      <w:proofErr w:type="spellStart"/>
      <w:r w:rsidRPr="004A0C8C">
        <w:rPr>
          <w:i/>
          <w:iCs/>
        </w:rPr>
        <w:t>lion’s</w:t>
      </w:r>
      <w:proofErr w:type="spellEnd"/>
      <w:r w:rsidRPr="004A0C8C">
        <w:rPr>
          <w:i/>
          <w:iCs/>
        </w:rPr>
        <w:t xml:space="preserve"> </w:t>
      </w:r>
      <w:proofErr w:type="spellStart"/>
      <w:r w:rsidRPr="004A0C8C">
        <w:rPr>
          <w:i/>
          <w:iCs/>
        </w:rPr>
        <w:t>shadow</w:t>
      </w:r>
      <w:proofErr w:type="spellEnd"/>
      <w:r w:rsidRPr="004A0C8C">
        <w:t xml:space="preserve">, The </w:t>
      </w:r>
      <w:proofErr w:type="spellStart"/>
      <w:r w:rsidRPr="004A0C8C">
        <w:t>History</w:t>
      </w:r>
      <w:proofErr w:type="spellEnd"/>
      <w:r w:rsidRPr="004A0C8C">
        <w:t xml:space="preserve"> Press, 2012, pp. 97-98.</w:t>
      </w:r>
    </w:p>
    <w:p w:rsidR="004A0C8C" w:rsidRDefault="004A0C8C" w:rsidP="004A0C8C"/>
    <w:p w:rsidR="004A0C8C" w:rsidRPr="004A0C8C" w:rsidRDefault="004A0C8C" w:rsidP="004A0C8C">
      <w:pPr>
        <w:rPr>
          <w:b/>
          <w:bCs/>
        </w:rPr>
      </w:pPr>
      <w:r w:rsidRPr="004A0C8C">
        <w:rPr>
          <w:b/>
          <w:bCs/>
        </w:rPr>
        <w:t xml:space="preserve">Chi era </w:t>
      </w:r>
      <w:proofErr w:type="spellStart"/>
      <w:r w:rsidRPr="004A0C8C">
        <w:rPr>
          <w:b/>
          <w:bCs/>
        </w:rPr>
        <w:t>Abdol-Hossein</w:t>
      </w:r>
      <w:proofErr w:type="spellEnd"/>
      <w:r w:rsidRPr="004A0C8C">
        <w:rPr>
          <w:b/>
          <w:bCs/>
        </w:rPr>
        <w:t xml:space="preserve"> </w:t>
      </w:r>
      <w:proofErr w:type="spellStart"/>
      <w:r w:rsidRPr="004A0C8C">
        <w:rPr>
          <w:b/>
          <w:bCs/>
        </w:rPr>
        <w:t>Sardari</w:t>
      </w:r>
      <w:proofErr w:type="spellEnd"/>
      <w:r w:rsidRPr="004A0C8C">
        <w:rPr>
          <w:b/>
          <w:bCs/>
        </w:rPr>
        <w:t xml:space="preserve">? </w:t>
      </w:r>
    </w:p>
    <w:p w:rsidR="004A0C8C" w:rsidRPr="004A0C8C" w:rsidRDefault="004A0C8C" w:rsidP="004A0C8C">
      <w:r w:rsidRPr="004A0C8C">
        <w:t xml:space="preserve">I fedeli di religione mosaica non sono mai esistiti, né in Iran né in Francia, e nemmeno i </w:t>
      </w:r>
      <w:proofErr w:type="spellStart"/>
      <w:r w:rsidRPr="004A0C8C">
        <w:rPr>
          <w:i/>
          <w:iCs/>
        </w:rPr>
        <w:t>Djuguten</w:t>
      </w:r>
      <w:proofErr w:type="spellEnd"/>
      <w:r w:rsidRPr="004A0C8C">
        <w:t xml:space="preserve">, come </w:t>
      </w:r>
      <w:proofErr w:type="gramStart"/>
      <w:r w:rsidRPr="004A0C8C">
        <w:t>vennero</w:t>
      </w:r>
      <w:proofErr w:type="gramEnd"/>
      <w:r w:rsidRPr="004A0C8C">
        <w:t xml:space="preserve"> alternativamente definiti 10-12 mila iraniani nei carteggi ufficiali. Era solo la </w:t>
      </w:r>
      <w:r w:rsidRPr="004A0C8C">
        <w:rPr>
          <w:b/>
          <w:bCs/>
        </w:rPr>
        <w:t>copertura per gli ebrei iraniani</w:t>
      </w:r>
      <w:r w:rsidRPr="004A0C8C">
        <w:t xml:space="preserve"> residenti in Francia al momento dell’invasione dei nazisti nel giugno del 1940, che il </w:t>
      </w:r>
      <w:r w:rsidRPr="004A0C8C">
        <w:rPr>
          <w:b/>
          <w:bCs/>
        </w:rPr>
        <w:t>console dell’Iran a Parigi</w:t>
      </w:r>
      <w:r w:rsidRPr="004A0C8C">
        <w:t xml:space="preserve">, </w:t>
      </w:r>
      <w:proofErr w:type="spellStart"/>
      <w:r w:rsidRPr="004A0C8C">
        <w:t>Abdol-Hossein</w:t>
      </w:r>
      <w:proofErr w:type="spellEnd"/>
      <w:r w:rsidRPr="004A0C8C">
        <w:t xml:space="preserve"> </w:t>
      </w:r>
      <w:proofErr w:type="spellStart"/>
      <w:r w:rsidRPr="004A0C8C">
        <w:t>Sardari</w:t>
      </w:r>
      <w:proofErr w:type="spellEnd"/>
      <w:r w:rsidRPr="004A0C8C">
        <w:t xml:space="preserve">, inventò per salvare centinaia di persone dalle leggi razziali e dai campi di concentramento, inclusi molti francesi cui </w:t>
      </w:r>
      <w:proofErr w:type="gramStart"/>
      <w:r w:rsidRPr="004A0C8C">
        <w:t>venne</w:t>
      </w:r>
      <w:proofErr w:type="gramEnd"/>
      <w:r w:rsidRPr="004A0C8C">
        <w:t xml:space="preserve"> fornito un passaporto iraniano.</w:t>
      </w:r>
    </w:p>
    <w:p w:rsidR="004A0C8C" w:rsidRPr="004A0C8C" w:rsidRDefault="004A0C8C" w:rsidP="004A0C8C">
      <w:proofErr w:type="spellStart"/>
      <w:r w:rsidRPr="004A0C8C">
        <w:t>Sardari</w:t>
      </w:r>
      <w:proofErr w:type="spellEnd"/>
      <w:r w:rsidRPr="004A0C8C">
        <w:t xml:space="preserve"> era arrivato a Parigi a meno di trent’anni, dopo essersi laureato in legge a Ginevra ed essere stato avviato alla carriera diplomatica dal cognato e ministro plenipotenziario dell’Iran in Francia, </w:t>
      </w:r>
      <w:proofErr w:type="spellStart"/>
      <w:r w:rsidRPr="004A0C8C">
        <w:t>Anoshiravan</w:t>
      </w:r>
      <w:proofErr w:type="spellEnd"/>
      <w:r w:rsidRPr="004A0C8C">
        <w:t xml:space="preserve"> </w:t>
      </w:r>
      <w:proofErr w:type="spellStart"/>
      <w:r w:rsidRPr="004A0C8C">
        <w:t>Sepahbody</w:t>
      </w:r>
      <w:proofErr w:type="spellEnd"/>
      <w:r w:rsidRPr="004A0C8C">
        <w:t xml:space="preserve">. Scapolo e grande conoscitore delle pubbliche relazioni, </w:t>
      </w:r>
      <w:proofErr w:type="spellStart"/>
      <w:r w:rsidRPr="004A0C8C">
        <w:t>Sardari</w:t>
      </w:r>
      <w:proofErr w:type="spellEnd"/>
      <w:r w:rsidRPr="004A0C8C">
        <w:t xml:space="preserve"> sin dal principio del proprio incarico riuscì a ingraziarsi con le buone maniere sia i gerarchi nazisti sia i burocrati della nuova </w:t>
      </w:r>
      <w:r w:rsidRPr="004A0C8C">
        <w:rPr>
          <w:b/>
          <w:bCs/>
        </w:rPr>
        <w:t>Francia sotto occupazione</w:t>
      </w:r>
      <w:r w:rsidRPr="004A0C8C">
        <w:t xml:space="preserve">. </w:t>
      </w:r>
    </w:p>
    <w:p w:rsidR="004A0C8C" w:rsidRPr="004A0C8C" w:rsidRDefault="004A0C8C" w:rsidP="004A0C8C">
      <w:r w:rsidRPr="004A0C8C">
        <w:t xml:space="preserve">Secondo le testimonianze raccolte dal giornalista e scrittore </w:t>
      </w:r>
      <w:proofErr w:type="spellStart"/>
      <w:r w:rsidRPr="004A0C8C">
        <w:rPr>
          <w:b/>
          <w:bCs/>
        </w:rPr>
        <w:t>Fariborz</w:t>
      </w:r>
      <w:proofErr w:type="spellEnd"/>
      <w:r w:rsidRPr="004A0C8C">
        <w:rPr>
          <w:b/>
          <w:bCs/>
        </w:rPr>
        <w:t xml:space="preserve"> </w:t>
      </w:r>
      <w:proofErr w:type="spellStart"/>
      <w:r w:rsidRPr="004A0C8C">
        <w:rPr>
          <w:b/>
          <w:bCs/>
        </w:rPr>
        <w:t>Mokhtari</w:t>
      </w:r>
      <w:proofErr w:type="spellEnd"/>
      <w:r w:rsidRPr="004A0C8C">
        <w:t xml:space="preserve"> nel suo libro </w:t>
      </w:r>
      <w:r w:rsidRPr="004A0C8C">
        <w:rPr>
          <w:i/>
          <w:iCs/>
        </w:rPr>
        <w:t xml:space="preserve">In the </w:t>
      </w:r>
      <w:proofErr w:type="spellStart"/>
      <w:r w:rsidRPr="004A0C8C">
        <w:rPr>
          <w:i/>
          <w:iCs/>
        </w:rPr>
        <w:t>lion’s</w:t>
      </w:r>
      <w:proofErr w:type="spellEnd"/>
      <w:r w:rsidRPr="004A0C8C">
        <w:rPr>
          <w:i/>
          <w:iCs/>
        </w:rPr>
        <w:t xml:space="preserve"> </w:t>
      </w:r>
      <w:proofErr w:type="spellStart"/>
      <w:r w:rsidRPr="004A0C8C">
        <w:rPr>
          <w:i/>
          <w:iCs/>
        </w:rPr>
        <w:t>shadow</w:t>
      </w:r>
      <w:proofErr w:type="spellEnd"/>
      <w:r w:rsidRPr="004A0C8C">
        <w:t>, il console era capace di intrattenere autorità e personalità influenti con memorabili banchetti preparati personalmente. All’</w:t>
      </w:r>
      <w:r w:rsidRPr="004A0C8C">
        <w:rPr>
          <w:b/>
          <w:bCs/>
        </w:rPr>
        <w:t xml:space="preserve">ascendenza aristocratica </w:t>
      </w:r>
      <w:r w:rsidRPr="004A0C8C">
        <w:t xml:space="preserve">– era imparentato con i </w:t>
      </w:r>
      <w:proofErr w:type="spellStart"/>
      <w:r w:rsidRPr="004A0C8C">
        <w:t>Qajar</w:t>
      </w:r>
      <w:proofErr w:type="spellEnd"/>
      <w:r w:rsidRPr="004A0C8C">
        <w:t>, la famiglia reale che aveva governato l’Iran fino al 1925 – univa la padronanza di almeno quattro lingue: dal farsi letterario, al francese, all’inglese al tedesco.</w:t>
      </w:r>
    </w:p>
    <w:p w:rsidR="004A0C8C" w:rsidRPr="004A0C8C" w:rsidRDefault="004A0C8C" w:rsidP="004A0C8C">
      <w:r w:rsidRPr="004A0C8C">
        <w:t xml:space="preserve">Quando, nell’ottobre </w:t>
      </w:r>
      <w:r w:rsidRPr="004A0C8C">
        <w:rPr>
          <w:b/>
          <w:bCs/>
        </w:rPr>
        <w:t>1940</w:t>
      </w:r>
      <w:r w:rsidRPr="004A0C8C">
        <w:t xml:space="preserve">, il ministro </w:t>
      </w:r>
      <w:proofErr w:type="spellStart"/>
      <w:r w:rsidRPr="004A0C8C">
        <w:t>Sepahbody</w:t>
      </w:r>
      <w:proofErr w:type="spellEnd"/>
      <w:r w:rsidRPr="004A0C8C">
        <w:t xml:space="preserve"> venne costretto dai tedeschi a lasciare Parigi per la città termale di </w:t>
      </w:r>
      <w:hyperlink r:id="rId5" w:history="1">
        <w:r w:rsidRPr="004A0C8C">
          <w:rPr>
            <w:rStyle w:val="Collegamentoipertestuale"/>
            <w:b/>
            <w:bCs/>
          </w:rPr>
          <w:t>Vichy</w:t>
        </w:r>
      </w:hyperlink>
      <w:r w:rsidRPr="004A0C8C">
        <w:t xml:space="preserve">, sede del governo collaborazionista del maresciallo </w:t>
      </w:r>
      <w:proofErr w:type="spellStart"/>
      <w:r w:rsidRPr="004A0C8C">
        <w:t>Pétain</w:t>
      </w:r>
      <w:proofErr w:type="spellEnd"/>
      <w:r w:rsidRPr="004A0C8C">
        <w:t xml:space="preserve">, la rappresentanza diplomatica iraniana di Rue </w:t>
      </w:r>
      <w:proofErr w:type="spellStart"/>
      <w:r w:rsidRPr="004A0C8C">
        <w:t>Fortuny</w:t>
      </w:r>
      <w:proofErr w:type="spellEnd"/>
      <w:r w:rsidRPr="004A0C8C">
        <w:t xml:space="preserve"> 5 passò sotto la responsabilità di </w:t>
      </w:r>
      <w:proofErr w:type="spellStart"/>
      <w:r w:rsidRPr="004A0C8C">
        <w:t>Sardari</w:t>
      </w:r>
      <w:proofErr w:type="spellEnd"/>
      <w:r w:rsidRPr="004A0C8C">
        <w:t xml:space="preserve">. Allora, le strette relazioni intrattenute meticolosamente con la </w:t>
      </w:r>
      <w:r w:rsidRPr="004A0C8C">
        <w:rPr>
          <w:b/>
          <w:bCs/>
        </w:rPr>
        <w:t>comunità ebraica locale</w:t>
      </w:r>
      <w:r w:rsidRPr="004A0C8C">
        <w:t xml:space="preserve">, </w:t>
      </w:r>
      <w:proofErr w:type="gramStart"/>
      <w:r w:rsidRPr="004A0C8C">
        <w:t>a partire dai</w:t>
      </w:r>
      <w:proofErr w:type="gramEnd"/>
      <w:r w:rsidRPr="004A0C8C">
        <w:t xml:space="preserve"> </w:t>
      </w:r>
      <w:r w:rsidRPr="004A0C8C">
        <w:rPr>
          <w:b/>
          <w:bCs/>
        </w:rPr>
        <w:t>numerosi iraniani arrivati a Parigi</w:t>
      </w:r>
      <w:r w:rsidRPr="004A0C8C">
        <w:t xml:space="preserve"> per aprire attività commerciali, tornò utile. Fu</w:t>
      </w:r>
      <w:proofErr w:type="gramStart"/>
      <w:r w:rsidRPr="004A0C8C">
        <w:t xml:space="preserve"> infatti</w:t>
      </w:r>
      <w:proofErr w:type="gramEnd"/>
      <w:r w:rsidRPr="004A0C8C">
        <w:t xml:space="preserve"> l’amico Ibrahim </w:t>
      </w:r>
      <w:proofErr w:type="spellStart"/>
      <w:r w:rsidRPr="004A0C8C">
        <w:t>Morady</w:t>
      </w:r>
      <w:proofErr w:type="spellEnd"/>
      <w:r w:rsidRPr="004A0C8C">
        <w:t xml:space="preserve">, proprietario di uno dei migliori negozi di manufatti e tappeti orientali della città, il </w:t>
      </w:r>
      <w:proofErr w:type="spellStart"/>
      <w:r w:rsidRPr="004A0C8C">
        <w:t>Palais</w:t>
      </w:r>
      <w:proofErr w:type="spellEnd"/>
      <w:r w:rsidRPr="004A0C8C">
        <w:t xml:space="preserve"> d’Iran, a fornirgli una </w:t>
      </w:r>
      <w:r w:rsidRPr="004A0C8C">
        <w:rPr>
          <w:b/>
          <w:bCs/>
        </w:rPr>
        <w:t>lista</w:t>
      </w:r>
      <w:r w:rsidRPr="004A0C8C">
        <w:t xml:space="preserve"> con decine di nomi, indirizzi, professioni, date e luoghi di nascita degli ebrei iraniani di Parigi. </w:t>
      </w:r>
    </w:p>
    <w:p w:rsidR="004A0C8C" w:rsidRPr="004A0C8C" w:rsidRDefault="004A0C8C" w:rsidP="004A0C8C"/>
    <w:p w:rsidR="004A0C8C" w:rsidRPr="004A0C8C" w:rsidRDefault="004A0C8C" w:rsidP="004A0C8C">
      <w:pPr>
        <w:rPr>
          <w:b/>
          <w:bCs/>
        </w:rPr>
      </w:pPr>
      <w:r w:rsidRPr="004A0C8C">
        <w:rPr>
          <w:b/>
          <w:bCs/>
        </w:rPr>
        <w:t xml:space="preserve">Ebrei iraniani a Parigi </w:t>
      </w:r>
    </w:p>
    <w:p w:rsidR="004A0C8C" w:rsidRPr="004A0C8C" w:rsidRDefault="004A0C8C" w:rsidP="004A0C8C">
      <w:pPr>
        <w:rPr>
          <w:u w:val="thick"/>
        </w:rPr>
      </w:pPr>
      <w:r w:rsidRPr="004A0C8C">
        <w:t xml:space="preserve">Famiglie come i </w:t>
      </w:r>
      <w:proofErr w:type="spellStart"/>
      <w:r w:rsidRPr="004A0C8C">
        <w:t>Morady</w:t>
      </w:r>
      <w:proofErr w:type="spellEnd"/>
      <w:r w:rsidRPr="004A0C8C">
        <w:t xml:space="preserve">, i Musa, i </w:t>
      </w:r>
      <w:proofErr w:type="spellStart"/>
      <w:r w:rsidRPr="004A0C8C">
        <w:t>Nasseri</w:t>
      </w:r>
      <w:proofErr w:type="spellEnd"/>
      <w:r w:rsidRPr="004A0C8C">
        <w:t xml:space="preserve">, i </w:t>
      </w:r>
      <w:proofErr w:type="spellStart"/>
      <w:r w:rsidRPr="004A0C8C">
        <w:t>Sassoon</w:t>
      </w:r>
      <w:proofErr w:type="spellEnd"/>
      <w:r w:rsidRPr="004A0C8C">
        <w:t xml:space="preserve"> erano </w:t>
      </w:r>
      <w:proofErr w:type="gramStart"/>
      <w:r w:rsidRPr="004A0C8C">
        <w:t>prosperate</w:t>
      </w:r>
      <w:proofErr w:type="gramEnd"/>
      <w:r w:rsidRPr="004A0C8C">
        <w:t xml:space="preserve"> diventando parte integrante dell’</w:t>
      </w:r>
      <w:r w:rsidRPr="004A0C8C">
        <w:rPr>
          <w:b/>
          <w:bCs/>
        </w:rPr>
        <w:t>alta società parigina</w:t>
      </w:r>
      <w:r w:rsidRPr="004A0C8C">
        <w:t xml:space="preserve">. I loro figli impegnati in studi universitari o nel business di famiglia erano destinati a un futuro brillante, che fosse nella capitale francese o nella Teheran degli </w:t>
      </w:r>
      <w:proofErr w:type="spellStart"/>
      <w:r w:rsidRPr="004A0C8C">
        <w:t>shah</w:t>
      </w:r>
      <w:proofErr w:type="spellEnd"/>
      <w:r w:rsidRPr="004A0C8C">
        <w:t xml:space="preserve">, grazie </w:t>
      </w:r>
      <w:proofErr w:type="gramStart"/>
      <w:r w:rsidRPr="004A0C8C">
        <w:t>a cui</w:t>
      </w:r>
      <w:proofErr w:type="gramEnd"/>
      <w:r w:rsidRPr="004A0C8C">
        <w:t xml:space="preserve"> il paese procedeva sul binario dello sviluppo industriale e di una rigorosa neutralità in politica internazionale. </w:t>
      </w:r>
      <w:proofErr w:type="spellStart"/>
      <w:r w:rsidRPr="004A0C8C">
        <w:t>Reza</w:t>
      </w:r>
      <w:proofErr w:type="spellEnd"/>
      <w:r w:rsidRPr="004A0C8C">
        <w:t xml:space="preserve"> Khan, ex generale, era salito al potere nel 1926, iniziando la dinastia </w:t>
      </w:r>
      <w:r w:rsidRPr="004A0C8C">
        <w:rPr>
          <w:b/>
          <w:bCs/>
        </w:rPr>
        <w:t>Pahlavi</w:t>
      </w:r>
      <w:r w:rsidRPr="004A0C8C">
        <w:t xml:space="preserve">, </w:t>
      </w:r>
      <w:r w:rsidRPr="004A0C8C">
        <w:lastRenderedPageBreak/>
        <w:t xml:space="preserve">continuata da Mohammad </w:t>
      </w:r>
      <w:proofErr w:type="spellStart"/>
      <w:r w:rsidRPr="004A0C8C">
        <w:t>Reza</w:t>
      </w:r>
      <w:proofErr w:type="spellEnd"/>
      <w:r w:rsidRPr="004A0C8C">
        <w:t xml:space="preserve"> quindici anni più tardi e poi interrotta dalla rivoluzione guidata dall’ayatollah </w:t>
      </w:r>
      <w:hyperlink r:id="rId6" w:history="1">
        <w:r w:rsidRPr="004A0C8C">
          <w:rPr>
            <w:rStyle w:val="Collegamentoipertestuale"/>
          </w:rPr>
          <w:t xml:space="preserve">Ruhollah Khomeini </w:t>
        </w:r>
      </w:hyperlink>
      <w:r w:rsidRPr="004A0C8C">
        <w:t>nel 1979.</w:t>
      </w:r>
      <w:r w:rsidRPr="004A0C8C">
        <w:rPr>
          <w:u w:val="thick"/>
        </w:rPr>
        <w:t xml:space="preserve"> </w:t>
      </w:r>
    </w:p>
    <w:p w:rsidR="004A0C8C" w:rsidRPr="004A0C8C" w:rsidRDefault="004A0C8C" w:rsidP="004A0C8C">
      <w:r w:rsidRPr="004A0C8C">
        <w:t xml:space="preserve">Lo sviluppo industriale era stato alimentato dai primi decenni del secolo scorso da ottime relazioni commerciali con la </w:t>
      </w:r>
      <w:r w:rsidRPr="004A0C8C">
        <w:rPr>
          <w:b/>
          <w:bCs/>
        </w:rPr>
        <w:t>Germania</w:t>
      </w:r>
      <w:r w:rsidRPr="004A0C8C">
        <w:t>, che aveva inviato ingegneri a costruire ferrovie, palazzi, ponti e strade in cambio di un alleato contro le altre potenze europee. L’affinità crebbe attraverso la propaganda nazionalsocialista che faceva dell’</w:t>
      </w:r>
      <w:r w:rsidRPr="004A0C8C">
        <w:rPr>
          <w:b/>
          <w:bCs/>
        </w:rPr>
        <w:t xml:space="preserve">Iran </w:t>
      </w:r>
      <w:r w:rsidRPr="004A0C8C">
        <w:t>una</w:t>
      </w:r>
      <w:r w:rsidRPr="004A0C8C">
        <w:rPr>
          <w:b/>
          <w:bCs/>
        </w:rPr>
        <w:t xml:space="preserve"> nazione “sorella” della Germania</w:t>
      </w:r>
      <w:r w:rsidRPr="004A0C8C">
        <w:t>. L’ideologia della purezza razziale adottata da Hitler, infatti, aveva le radici proprio nell’altopiano dell’Iran, che in lingua farsi sta per “</w:t>
      </w:r>
      <w:r w:rsidRPr="004A0C8C">
        <w:rPr>
          <w:b/>
          <w:bCs/>
        </w:rPr>
        <w:t>terra degli ariani</w:t>
      </w:r>
      <w:r w:rsidRPr="004A0C8C">
        <w:t>”, quest’ultimo un termine derivato dal vocabolo usato in sanscrito per indicare un “uomo nobile”.</w:t>
      </w:r>
    </w:p>
    <w:p w:rsidR="004A0C8C" w:rsidRPr="004A0C8C" w:rsidRDefault="004A0C8C" w:rsidP="004A0C8C">
      <w:r w:rsidRPr="004A0C8C">
        <w:t xml:space="preserve">Nello stesso Iran, tuttavia, gli ebrei non erano stati estranei a </w:t>
      </w:r>
      <w:r w:rsidRPr="004A0C8C">
        <w:rPr>
          <w:b/>
          <w:bCs/>
        </w:rPr>
        <w:t>persecuzioni</w:t>
      </w:r>
      <w:r w:rsidRPr="004A0C8C">
        <w:t xml:space="preserve">. </w:t>
      </w:r>
      <w:proofErr w:type="gramStart"/>
      <w:r w:rsidRPr="004A0C8C">
        <w:t xml:space="preserve">“A cavallo tra il XIX e il XX secolo, gli ebrei subirono dei </w:t>
      </w:r>
      <w:r w:rsidRPr="004A0C8C">
        <w:rPr>
          <w:i/>
          <w:iCs/>
        </w:rPr>
        <w:t>pogrom</w:t>
      </w:r>
      <w:r w:rsidRPr="004A0C8C">
        <w:t xml:space="preserve"> di minore entità</w:t>
      </w:r>
      <w:proofErr w:type="gramEnd"/>
      <w:r w:rsidRPr="004A0C8C">
        <w:t xml:space="preserve">. L’intera popolazione di una cittadina di nome Mashhad, ad esempio </w:t>
      </w:r>
      <w:proofErr w:type="gramStart"/>
      <w:r w:rsidRPr="004A0C8C">
        <w:t>venne</w:t>
      </w:r>
      <w:proofErr w:type="gramEnd"/>
      <w:r w:rsidRPr="004A0C8C">
        <w:t xml:space="preserve"> convertita forzatamente. Persecuzioni si ebbero sia a </w:t>
      </w:r>
      <w:proofErr w:type="spellStart"/>
      <w:r w:rsidRPr="004A0C8C">
        <w:t>Ishafan</w:t>
      </w:r>
      <w:proofErr w:type="spellEnd"/>
      <w:r w:rsidRPr="004A0C8C">
        <w:t xml:space="preserve"> sia a Tabriz, dove migliaia di ebrei scomparvero. L’astio nei loro confronti si radicava in primo luogo nella tradizione sciita secondo cui gli ebrei sono impuri e tali da contagiare acqua e cibo mettendo a rischio i musulmani</w:t>
      </w:r>
      <w:r w:rsidRPr="004A0C8C">
        <w:rPr>
          <w:i/>
          <w:iCs/>
        </w:rPr>
        <w:t>”</w:t>
      </w:r>
      <w:r w:rsidRPr="004A0C8C">
        <w:t xml:space="preserve">, </w:t>
      </w:r>
      <w:proofErr w:type="gramStart"/>
      <w:r w:rsidRPr="004A0C8C">
        <w:t>spiega</w:t>
      </w:r>
      <w:proofErr w:type="gramEnd"/>
      <w:r w:rsidRPr="004A0C8C">
        <w:t xml:space="preserve"> </w:t>
      </w:r>
      <w:proofErr w:type="spellStart"/>
      <w:r w:rsidRPr="004A0C8C">
        <w:t>Meir</w:t>
      </w:r>
      <w:proofErr w:type="spellEnd"/>
      <w:r w:rsidRPr="004A0C8C">
        <w:t xml:space="preserve"> </w:t>
      </w:r>
      <w:proofErr w:type="spellStart"/>
      <w:r w:rsidRPr="004A0C8C">
        <w:t>Litvak</w:t>
      </w:r>
      <w:proofErr w:type="spellEnd"/>
      <w:r w:rsidRPr="004A0C8C">
        <w:t xml:space="preserve">, docente del Dipartimento di Studi mediorientali dell’università di </w:t>
      </w:r>
      <w:proofErr w:type="spellStart"/>
      <w:r w:rsidRPr="004A0C8C">
        <w:t>Tel</w:t>
      </w:r>
      <w:proofErr w:type="spellEnd"/>
      <w:r w:rsidRPr="004A0C8C">
        <w:t xml:space="preserve"> Aviv.</w:t>
      </w:r>
    </w:p>
    <w:p w:rsidR="004A0C8C" w:rsidRPr="004A0C8C" w:rsidRDefault="004A0C8C" w:rsidP="004A0C8C">
      <w:r w:rsidRPr="004A0C8C">
        <w:t xml:space="preserve">Atrocità e deportazioni contro gli ebrei ebbero notoriamente il loro picco nell’Olocausto, i cui </w:t>
      </w:r>
      <w:proofErr w:type="gramStart"/>
      <w:r w:rsidRPr="004A0C8C">
        <w:t>primi</w:t>
      </w:r>
      <w:proofErr w:type="gramEnd"/>
      <w:r w:rsidRPr="004A0C8C">
        <w:t xml:space="preserve"> </w:t>
      </w:r>
      <w:proofErr w:type="gramStart"/>
      <w:r w:rsidRPr="004A0C8C">
        <w:t>segnali</w:t>
      </w:r>
      <w:proofErr w:type="gramEnd"/>
      <w:r w:rsidRPr="004A0C8C">
        <w:t xml:space="preserve"> arrivati dall’est Europa trovarono riscontro in Francia già dai primi tempi dell’occupazione, quando venne imposta la registrazione e la stella sugli indumenti. Quattro mesi dopo il </w:t>
      </w:r>
      <w:r w:rsidRPr="004A0C8C">
        <w:rPr>
          <w:b/>
          <w:bCs/>
        </w:rPr>
        <w:t>regime di Vichy</w:t>
      </w:r>
      <w:r w:rsidRPr="004A0C8C">
        <w:t xml:space="preserve"> approvò la prima di quasi </w:t>
      </w:r>
      <w:r w:rsidRPr="004A0C8C">
        <w:rPr>
          <w:b/>
          <w:bCs/>
        </w:rPr>
        <w:t>150 leggi antisemite</w:t>
      </w:r>
      <w:r w:rsidRPr="004A0C8C">
        <w:t xml:space="preserve"> per bandire gli ebrei da ogni impiego nei settori bancario, giudiziario, militare, dei media e dell’educazione. </w:t>
      </w:r>
    </w:p>
    <w:p w:rsidR="004A0C8C" w:rsidRPr="004A0C8C" w:rsidRDefault="004A0C8C" w:rsidP="004A0C8C"/>
    <w:p w:rsidR="004A0C8C" w:rsidRPr="004A0C8C" w:rsidRDefault="004A0C8C" w:rsidP="004A0C8C">
      <w:pPr>
        <w:rPr>
          <w:b/>
          <w:bCs/>
        </w:rPr>
      </w:pPr>
      <w:r w:rsidRPr="004A0C8C">
        <w:rPr>
          <w:b/>
          <w:bCs/>
        </w:rPr>
        <w:t xml:space="preserve">L’invenzione della religione mosaica </w:t>
      </w:r>
    </w:p>
    <w:p w:rsidR="004A0C8C" w:rsidRPr="004A0C8C" w:rsidRDefault="004A0C8C" w:rsidP="004A0C8C">
      <w:r w:rsidRPr="004A0C8C">
        <w:t xml:space="preserve">Tuttavia servirono diversi mesi a </w:t>
      </w:r>
      <w:proofErr w:type="spellStart"/>
      <w:r w:rsidRPr="004A0C8C">
        <w:t>Sardari</w:t>
      </w:r>
      <w:proofErr w:type="spellEnd"/>
      <w:r w:rsidRPr="004A0C8C">
        <w:t xml:space="preserve"> per </w:t>
      </w:r>
      <w:proofErr w:type="gramStart"/>
      <w:r w:rsidRPr="004A0C8C">
        <w:t>concludere</w:t>
      </w:r>
      <w:proofErr w:type="gramEnd"/>
      <w:r w:rsidRPr="004A0C8C">
        <w:t xml:space="preserve"> che l’unico modo per salvare gli ebrei dal destino riservato loro nella Francia occupata dai nazisti era di </w:t>
      </w:r>
      <w:r w:rsidRPr="004A0C8C">
        <w:rPr>
          <w:b/>
          <w:bCs/>
        </w:rPr>
        <w:t>distinguere quelli di origine iraniana dagli altri</w:t>
      </w:r>
      <w:r w:rsidRPr="004A0C8C">
        <w:t xml:space="preserve">. Da qui l’idea di persuadere le autorità che gli ebrei persiani non fossero di razza semitica, bensì ariana, e seguaci dei presunti insegnamenti del profeta Mosè. </w:t>
      </w:r>
      <w:proofErr w:type="spellStart"/>
      <w:r w:rsidRPr="004A0C8C">
        <w:t>Sardari</w:t>
      </w:r>
      <w:proofErr w:type="spellEnd"/>
      <w:r w:rsidRPr="004A0C8C">
        <w:t xml:space="preserve"> capì che un punto debole dell’amministrazione degli occupanti tedeschi era </w:t>
      </w:r>
      <w:proofErr w:type="gramStart"/>
      <w:r w:rsidRPr="004A0C8C">
        <w:t>nella</w:t>
      </w:r>
      <w:proofErr w:type="gramEnd"/>
      <w:r w:rsidRPr="004A0C8C">
        <w:t xml:space="preserve"> </w:t>
      </w:r>
      <w:r w:rsidRPr="004A0C8C">
        <w:rPr>
          <w:b/>
          <w:bCs/>
        </w:rPr>
        <w:t>lungaggini burocratiche</w:t>
      </w:r>
      <w:r w:rsidRPr="004A0C8C">
        <w:t xml:space="preserve"> necessarie a verificare le informazioni fornite nelle varie comunicazioni ufficiali.</w:t>
      </w:r>
    </w:p>
    <w:p w:rsidR="004A0C8C" w:rsidRPr="004A0C8C" w:rsidRDefault="004A0C8C" w:rsidP="004A0C8C">
      <w:r w:rsidRPr="004A0C8C">
        <w:t xml:space="preserve">Come previsto, ricevuta la lettera con la </w:t>
      </w:r>
      <w:r w:rsidRPr="004A0C8C">
        <w:rPr>
          <w:b/>
          <w:bCs/>
        </w:rPr>
        <w:t>richiesta di esentare i mosaici dalle leggi antisemite</w:t>
      </w:r>
      <w:r w:rsidRPr="004A0C8C">
        <w:t xml:space="preserve">, il Dipartimento per la politica razziale richiese consulenze accademiche a Berlino, Francoforte e Monaco solo nell’ottobre del 1942. I </w:t>
      </w:r>
      <w:proofErr w:type="gramStart"/>
      <w:r w:rsidRPr="004A0C8C">
        <w:t>responsi</w:t>
      </w:r>
      <w:proofErr w:type="gramEnd"/>
      <w:r w:rsidRPr="004A0C8C">
        <w:t xml:space="preserve"> furono molto vaghi e spesso accompagnati dal suggerimento di ulteriori accertamenti sul caso in questione. L’incertezza era acuita da diverse opinioni tra gli studiosi tedeschi sulla definizione razziale degli iraniani e dalla </w:t>
      </w:r>
      <w:r w:rsidRPr="004A0C8C">
        <w:rPr>
          <w:b/>
          <w:bCs/>
        </w:rPr>
        <w:t>contrarietà</w:t>
      </w:r>
      <w:r w:rsidRPr="004A0C8C">
        <w:t xml:space="preserve"> </w:t>
      </w:r>
      <w:proofErr w:type="gramStart"/>
      <w:r w:rsidRPr="004A0C8C">
        <w:t>più o meno</w:t>
      </w:r>
      <w:proofErr w:type="gramEnd"/>
      <w:r w:rsidRPr="004A0C8C">
        <w:t xml:space="preserve"> palese di buona parte della vecchia diplomazia tedesca (incluso il Primo segretario dell’Ambasciata tedesca a Parigi, </w:t>
      </w:r>
      <w:proofErr w:type="spellStart"/>
      <w:r w:rsidRPr="004A0C8C">
        <w:t>Krafft</w:t>
      </w:r>
      <w:proofErr w:type="spellEnd"/>
      <w:r w:rsidRPr="004A0C8C">
        <w:t xml:space="preserve"> von </w:t>
      </w:r>
      <w:proofErr w:type="spellStart"/>
      <w:r w:rsidRPr="004A0C8C">
        <w:t>Dellmensingen</w:t>
      </w:r>
      <w:proofErr w:type="spellEnd"/>
      <w:r w:rsidRPr="004A0C8C">
        <w:t xml:space="preserve">, cui </w:t>
      </w:r>
      <w:proofErr w:type="spellStart"/>
      <w:r w:rsidRPr="004A0C8C">
        <w:t>Sardari</w:t>
      </w:r>
      <w:proofErr w:type="spellEnd"/>
      <w:r w:rsidRPr="004A0C8C">
        <w:t xml:space="preserve"> inviò la prima delle lettere spedite all’amministrazione occupante) alle politiche discriminatorie introdotte dal regime nazista. </w:t>
      </w:r>
    </w:p>
    <w:p w:rsidR="004A0C8C" w:rsidRPr="004A0C8C" w:rsidRDefault="004A0C8C" w:rsidP="004A0C8C">
      <w:r w:rsidRPr="004A0C8C">
        <w:t xml:space="preserve">Nonostante una missiva del dicembre 1942 in cui Adolf Eichmann – a capo del Dipartimento della politica razziale </w:t>
      </w:r>
      <w:proofErr w:type="gramStart"/>
      <w:r w:rsidRPr="004A0C8C">
        <w:t>delle</w:t>
      </w:r>
      <w:proofErr w:type="gramEnd"/>
      <w:r w:rsidRPr="004A0C8C">
        <w:t xml:space="preserve"> SS e pianificatore dello sterminio di massa degli ebrei deciso all’inizio di quello stesso anno – rifiutava qualsiasi distinzione tra ebrei iraniani e non iraniani, </w:t>
      </w:r>
      <w:proofErr w:type="spellStart"/>
      <w:r w:rsidRPr="004A0C8C">
        <w:t>Sardari</w:t>
      </w:r>
      <w:proofErr w:type="spellEnd"/>
      <w:r w:rsidRPr="004A0C8C">
        <w:t xml:space="preserve"> riuscì a far esentare dalle direttive applicate agli ebrei almeno </w:t>
      </w:r>
      <w:r w:rsidRPr="004A0C8C">
        <w:rPr>
          <w:b/>
          <w:bCs/>
        </w:rPr>
        <w:t>un centinaio di famiglie di origine iraniana</w:t>
      </w:r>
      <w:r w:rsidRPr="004A0C8C">
        <w:t xml:space="preserve">, nella sola Parigi. </w:t>
      </w:r>
    </w:p>
    <w:p w:rsidR="004A0C8C" w:rsidRPr="004A0C8C" w:rsidRDefault="004A0C8C" w:rsidP="004A0C8C">
      <w:proofErr w:type="gramStart"/>
      <w:r w:rsidRPr="004A0C8C">
        <w:t>Ma</w:t>
      </w:r>
      <w:proofErr w:type="gramEnd"/>
      <w:r w:rsidRPr="004A0C8C">
        <w:t xml:space="preserve"> il console andò oltre. Messi al riparo gli ebrei iraniani, </w:t>
      </w:r>
      <w:proofErr w:type="spellStart"/>
      <w:r w:rsidRPr="004A0C8C">
        <w:t>Sardari</w:t>
      </w:r>
      <w:proofErr w:type="spellEnd"/>
      <w:r w:rsidRPr="004A0C8C">
        <w:t xml:space="preserve"> utilizzò su loro stessa pressione quanti rimanevano dei 500-1000 passaporti vergini custoditi in ambasciata a favore di molti </w:t>
      </w:r>
      <w:r w:rsidRPr="004A0C8C">
        <w:rPr>
          <w:b/>
          <w:bCs/>
        </w:rPr>
        <w:t>ebrei francesi</w:t>
      </w:r>
      <w:r w:rsidRPr="004A0C8C">
        <w:t xml:space="preserve">. La ricostruzione fornita in </w:t>
      </w:r>
      <w:proofErr w:type="spellStart"/>
      <w:r w:rsidRPr="004A0C8C">
        <w:rPr>
          <w:i/>
          <w:iCs/>
        </w:rPr>
        <w:t>In</w:t>
      </w:r>
      <w:proofErr w:type="spellEnd"/>
      <w:r w:rsidRPr="004A0C8C">
        <w:rPr>
          <w:i/>
          <w:iCs/>
        </w:rPr>
        <w:t xml:space="preserve"> the </w:t>
      </w:r>
      <w:proofErr w:type="spellStart"/>
      <w:r w:rsidRPr="004A0C8C">
        <w:rPr>
          <w:i/>
          <w:iCs/>
        </w:rPr>
        <w:t>lion’s</w:t>
      </w:r>
      <w:proofErr w:type="spellEnd"/>
      <w:r w:rsidRPr="004A0C8C">
        <w:rPr>
          <w:i/>
          <w:iCs/>
        </w:rPr>
        <w:t xml:space="preserve"> </w:t>
      </w:r>
      <w:proofErr w:type="spellStart"/>
      <w:r w:rsidRPr="004A0C8C">
        <w:rPr>
          <w:i/>
          <w:iCs/>
        </w:rPr>
        <w:t>shadow</w:t>
      </w:r>
      <w:proofErr w:type="spellEnd"/>
      <w:r w:rsidRPr="004A0C8C">
        <w:t xml:space="preserve">, basata sul numero di libretti consentiti nelle dotazioni delle ambasciate all’epoca e sulla possibilità che i familiari potessero essere registrati sul documento del capofamiglia, stima che altre circa </w:t>
      </w:r>
      <w:r w:rsidRPr="004A0C8C">
        <w:rPr>
          <w:b/>
          <w:bCs/>
        </w:rPr>
        <w:t>2400 persone</w:t>
      </w:r>
      <w:r w:rsidRPr="004A0C8C">
        <w:t xml:space="preserve"> scamparono in questo modo alla deportazione e alla morte, nella maggiore parte dei casi toccata a circa 100 mila ebrei residenti in Francia. </w:t>
      </w:r>
    </w:p>
    <w:p w:rsidR="004A0C8C" w:rsidRPr="004A0C8C" w:rsidRDefault="004A0C8C" w:rsidP="004A0C8C"/>
    <w:p w:rsidR="004A0C8C" w:rsidRPr="004A0C8C" w:rsidRDefault="004A0C8C" w:rsidP="004A0C8C">
      <w:pPr>
        <w:rPr>
          <w:b/>
          <w:bCs/>
        </w:rPr>
      </w:pPr>
      <w:r w:rsidRPr="004A0C8C">
        <w:rPr>
          <w:b/>
          <w:bCs/>
        </w:rPr>
        <w:t xml:space="preserve">Il rischio dopo la rottura con la Germania nazista </w:t>
      </w:r>
    </w:p>
    <w:p w:rsidR="004A0C8C" w:rsidRPr="004A0C8C" w:rsidRDefault="004A0C8C" w:rsidP="004A0C8C">
      <w:proofErr w:type="spellStart"/>
      <w:r w:rsidRPr="004A0C8C">
        <w:t>Sardari</w:t>
      </w:r>
      <w:proofErr w:type="spellEnd"/>
      <w:r w:rsidRPr="004A0C8C">
        <w:t xml:space="preserve"> fu «eccezionale, perché riuscì a salvare molti ebrei in un momento storico in cui l’Iran e lo </w:t>
      </w:r>
      <w:proofErr w:type="spellStart"/>
      <w:r w:rsidRPr="004A0C8C">
        <w:t>shah</w:t>
      </w:r>
      <w:proofErr w:type="spellEnd"/>
      <w:r w:rsidRPr="004A0C8C">
        <w:t xml:space="preserve"> avevano buone relazioni con la Germania nazista e anche quando, poco dopo, esse </w:t>
      </w:r>
      <w:proofErr w:type="gramStart"/>
      <w:r w:rsidRPr="004A0C8C">
        <w:t>vennero</w:t>
      </w:r>
      <w:proofErr w:type="gramEnd"/>
      <w:r w:rsidRPr="004A0C8C">
        <w:t xml:space="preserve"> interrotte, e con esse ogni immunità diplomatica o copertura politica per il proprio operato», spiega </w:t>
      </w:r>
      <w:proofErr w:type="spellStart"/>
      <w:r w:rsidRPr="004A0C8C">
        <w:t>Eliezer</w:t>
      </w:r>
      <w:proofErr w:type="spellEnd"/>
      <w:r w:rsidRPr="004A0C8C">
        <w:t xml:space="preserve"> (</w:t>
      </w:r>
      <w:proofErr w:type="spellStart"/>
      <w:r w:rsidRPr="004A0C8C">
        <w:t>Geizi</w:t>
      </w:r>
      <w:proofErr w:type="spellEnd"/>
      <w:r w:rsidRPr="004A0C8C">
        <w:t xml:space="preserve">) </w:t>
      </w:r>
      <w:proofErr w:type="spellStart"/>
      <w:r w:rsidRPr="004A0C8C">
        <w:t>Tsafrir</w:t>
      </w:r>
      <w:proofErr w:type="spellEnd"/>
      <w:r w:rsidRPr="004A0C8C">
        <w:t xml:space="preserve"> – autore del libro </w:t>
      </w:r>
      <w:r w:rsidRPr="004A0C8C">
        <w:rPr>
          <w:i/>
          <w:iCs/>
        </w:rPr>
        <w:t>Grande Satana, piccolo satana</w:t>
      </w:r>
      <w:r w:rsidRPr="004A0C8C">
        <w:t>, pubblicato nel 2002 in ebraico e in farsi.</w:t>
      </w:r>
    </w:p>
    <w:p w:rsidR="004A0C8C" w:rsidRPr="004A0C8C" w:rsidRDefault="004A0C8C" w:rsidP="004A0C8C">
      <w:proofErr w:type="spellStart"/>
      <w:proofErr w:type="gramStart"/>
      <w:r w:rsidRPr="004A0C8C">
        <w:t>ll</w:t>
      </w:r>
      <w:proofErr w:type="spellEnd"/>
      <w:proofErr w:type="gramEnd"/>
      <w:r w:rsidRPr="004A0C8C">
        <w:t xml:space="preserve"> 29 giugno </w:t>
      </w:r>
      <w:r w:rsidRPr="004A0C8C">
        <w:rPr>
          <w:b/>
          <w:bCs/>
        </w:rPr>
        <w:t>1942</w:t>
      </w:r>
      <w:r w:rsidRPr="004A0C8C">
        <w:t xml:space="preserve">, infatti, il governo di Teheran, firmò un accordo con Gran Bretagna, Russia e Stati Uniti – le potenze che avevano occupato l’Iran l’anno precedente nonostante la neutralità annunciata nel 1939 dopo l’invasione nazista in Polonia – e </w:t>
      </w:r>
      <w:r w:rsidRPr="004A0C8C">
        <w:rPr>
          <w:b/>
          <w:bCs/>
        </w:rPr>
        <w:t>dichiarò guerra alla Germania</w:t>
      </w:r>
      <w:r w:rsidRPr="004A0C8C">
        <w:t xml:space="preserve">, rendendo ancora più difficile la posizione del console a Parigi. </w:t>
      </w:r>
    </w:p>
    <w:p w:rsidR="004A0C8C" w:rsidRPr="004A0C8C" w:rsidRDefault="004A0C8C" w:rsidP="004A0C8C">
      <w:proofErr w:type="gramStart"/>
      <w:r w:rsidRPr="004A0C8C">
        <w:t xml:space="preserve">A dispetto del rischio personale e dei richiami in patria del governo, </w:t>
      </w:r>
      <w:proofErr w:type="spellStart"/>
      <w:r w:rsidRPr="004A0C8C">
        <w:t>Sardari</w:t>
      </w:r>
      <w:proofErr w:type="spellEnd"/>
      <w:r w:rsidRPr="004A0C8C">
        <w:t xml:space="preserve"> decise di rimanere al proprio posto</w:t>
      </w:r>
      <w:proofErr w:type="gramEnd"/>
      <w:r w:rsidRPr="004A0C8C">
        <w:t xml:space="preserve">. Vendette beni e proprietà per proseguire la propria attività, con il calore e il sostegno degli stessi amici che aveva salvato. </w:t>
      </w:r>
      <w:proofErr w:type="gramStart"/>
      <w:r w:rsidRPr="004A0C8C">
        <w:t>Lo</w:t>
      </w:r>
      <w:proofErr w:type="gramEnd"/>
      <w:r w:rsidRPr="004A0C8C">
        <w:t xml:space="preserve"> considerò sempre un dovere, ben oltre la Seconda guerra mondiale, il processo e la condanna subiti in patria negli anni cinquanta – quando il suo operato in Francia venne addirittura considerato un abuso di ufficio – e la rivoluzione khomeinista, che lo privò degli averi di famiglia e della pensione. </w:t>
      </w:r>
    </w:p>
    <w:p w:rsidR="004A0C8C" w:rsidRPr="004A0C8C" w:rsidRDefault="004A0C8C" w:rsidP="004A0C8C">
      <w:r w:rsidRPr="004A0C8C">
        <w:t xml:space="preserve">Morì nel 1981 a Londra, in una stanza in affitto, in </w:t>
      </w:r>
      <w:r w:rsidRPr="004A0C8C">
        <w:rPr>
          <w:b/>
          <w:bCs/>
        </w:rPr>
        <w:t>semi povertà</w:t>
      </w:r>
      <w:r w:rsidRPr="004A0C8C">
        <w:t xml:space="preserve"> e solo, </w:t>
      </w:r>
      <w:proofErr w:type="gramStart"/>
      <w:r w:rsidRPr="004A0C8C">
        <w:t>dato che</w:t>
      </w:r>
      <w:proofErr w:type="gramEnd"/>
      <w:r w:rsidRPr="004A0C8C">
        <w:t xml:space="preserve"> il suo unico amore, una cantante lirica, chiamata </w:t>
      </w:r>
      <w:proofErr w:type="spellStart"/>
      <w:r w:rsidRPr="004A0C8C">
        <w:t>Tchin-Tchin</w:t>
      </w:r>
      <w:proofErr w:type="spellEnd"/>
      <w:r w:rsidRPr="004A0C8C">
        <w:t xml:space="preserve"> e frequentata negli anni di Parigi, era scomparsa in un’altra guerra, quella civile scoppiata in Cina dove si era recata nel 1948 per una visita ai familiari. </w:t>
      </w:r>
    </w:p>
    <w:p w:rsidR="004A0C8C" w:rsidRPr="004A0C8C" w:rsidRDefault="004A0C8C" w:rsidP="004A0C8C"/>
    <w:p w:rsidR="004A0C8C" w:rsidRPr="004A0C8C" w:rsidRDefault="004A0C8C" w:rsidP="004A0C8C">
      <w:pPr>
        <w:rPr>
          <w:b/>
          <w:bCs/>
        </w:rPr>
      </w:pPr>
      <w:r w:rsidRPr="004A0C8C">
        <w:rPr>
          <w:b/>
          <w:bCs/>
        </w:rPr>
        <w:t>Iran e Israele oggi</w:t>
      </w:r>
    </w:p>
    <w:p w:rsidR="004A0C8C" w:rsidRPr="004A0C8C" w:rsidRDefault="004A0C8C" w:rsidP="004A0C8C">
      <w:r w:rsidRPr="004A0C8C">
        <w:t xml:space="preserve">«E dire che pochi conoscono la storia di </w:t>
      </w:r>
      <w:proofErr w:type="spellStart"/>
      <w:r w:rsidRPr="004A0C8C">
        <w:t>Abdol</w:t>
      </w:r>
      <w:proofErr w:type="spellEnd"/>
      <w:r w:rsidRPr="004A0C8C">
        <w:t xml:space="preserve"> </w:t>
      </w:r>
      <w:proofErr w:type="spellStart"/>
      <w:r w:rsidRPr="004A0C8C">
        <w:t>Hossein</w:t>
      </w:r>
      <w:proofErr w:type="spellEnd"/>
      <w:r w:rsidRPr="004A0C8C">
        <w:t xml:space="preserve"> </w:t>
      </w:r>
      <w:proofErr w:type="spellStart"/>
      <w:r w:rsidRPr="004A0C8C">
        <w:t>Sardari</w:t>
      </w:r>
      <w:proofErr w:type="spellEnd"/>
      <w:r w:rsidRPr="004A0C8C">
        <w:t xml:space="preserve">, sia prima della rivoluzione, quando </w:t>
      </w:r>
      <w:r w:rsidRPr="004A0C8C">
        <w:rPr>
          <w:b/>
          <w:bCs/>
        </w:rPr>
        <w:t>la comunità ebraica in Iran contava oltre 80 mila membri</w:t>
      </w:r>
      <w:r w:rsidRPr="004A0C8C">
        <w:t xml:space="preserve"> sia dopo, quando l’emigrazione soprattutto verso </w:t>
      </w:r>
      <w:hyperlink r:id="rId7" w:history="1">
        <w:r w:rsidRPr="004A0C8C">
          <w:rPr>
            <w:rStyle w:val="Collegamentoipertestuale"/>
          </w:rPr>
          <w:t>Israele</w:t>
        </w:r>
      </w:hyperlink>
      <w:r w:rsidRPr="004A0C8C">
        <w:t xml:space="preserve"> ha ridotto il numero via via fino ai 20 mila di oggi», commenta </w:t>
      </w:r>
      <w:proofErr w:type="spellStart"/>
      <w:r w:rsidRPr="004A0C8C">
        <w:t>Tsafrir</w:t>
      </w:r>
      <w:proofErr w:type="spellEnd"/>
      <w:r w:rsidRPr="004A0C8C">
        <w:t xml:space="preserve">, che nel 1978-79 ha lavorato a Teheran come responsabile del </w:t>
      </w:r>
      <w:proofErr w:type="spellStart"/>
      <w:r w:rsidRPr="004A0C8C">
        <w:t>Mossad</w:t>
      </w:r>
      <w:proofErr w:type="spellEnd"/>
      <w:r w:rsidRPr="004A0C8C">
        <w:t xml:space="preserve"> – i servizi segreti esterni Israeliani – prima dell’abbandono repentino seguito alla presa del potere da parte degli </w:t>
      </w:r>
      <w:r w:rsidRPr="004A0C8C">
        <w:rPr>
          <w:i/>
          <w:iCs/>
        </w:rPr>
        <w:t>ayatollah</w:t>
      </w:r>
      <w:r w:rsidRPr="004A0C8C">
        <w:t xml:space="preserve">. </w:t>
      </w:r>
    </w:p>
    <w:p w:rsidR="004A0C8C" w:rsidRPr="004A0C8C" w:rsidRDefault="004A0C8C" w:rsidP="004A0C8C">
      <w:r w:rsidRPr="004A0C8C">
        <w:t xml:space="preserve">Oggi in Iran, paese in profonda rotta con Israele per via del programma nucleare, vive </w:t>
      </w:r>
      <w:r w:rsidRPr="004A0C8C">
        <w:rPr>
          <w:b/>
          <w:bCs/>
        </w:rPr>
        <w:t>la seconda comunità ebraica del Medio Oriente</w:t>
      </w:r>
      <w:r w:rsidRPr="004A0C8C">
        <w:t xml:space="preserve">, cui </w:t>
      </w:r>
      <w:proofErr w:type="gramStart"/>
      <w:r w:rsidRPr="004A0C8C">
        <w:t>viene</w:t>
      </w:r>
      <w:proofErr w:type="gramEnd"/>
      <w:r w:rsidRPr="004A0C8C">
        <w:t xml:space="preserve"> garantito un seggio nel </w:t>
      </w:r>
      <w:proofErr w:type="spellStart"/>
      <w:r w:rsidRPr="004A0C8C">
        <w:t>Majlis</w:t>
      </w:r>
      <w:proofErr w:type="spellEnd"/>
      <w:r w:rsidRPr="004A0C8C">
        <w:t xml:space="preserve">, il parlamento locale. Gli ebrei iraniani non possono tuttavia organizzare alcuna celebrazione per ricordare l’Olocausto, la cui stessa esistenza storica è negata dalle autorità di Teheran. </w:t>
      </w:r>
    </w:p>
    <w:p w:rsidR="004A0C8C" w:rsidRPr="004A0C8C" w:rsidRDefault="004A0C8C" w:rsidP="004A0C8C">
      <w:r w:rsidRPr="004A0C8C">
        <w:t xml:space="preserve"> </w:t>
      </w:r>
      <w:proofErr w:type="gramStart"/>
      <w:r w:rsidRPr="004A0C8C">
        <w:t>«</w:t>
      </w:r>
      <w:proofErr w:type="gramEnd"/>
      <w:r w:rsidRPr="004A0C8C">
        <w:t xml:space="preserve">La prima ragione dell’odio, oltre la presunta impurezza, stava nel fatto che gli sciiti erano una minoranza che doveva competere nella quotidianità con le altre. </w:t>
      </w:r>
      <w:proofErr w:type="gramStart"/>
      <w:r w:rsidRPr="004A0C8C">
        <w:t>Al giorno d’oggi</w:t>
      </w:r>
      <w:proofErr w:type="gramEnd"/>
      <w:r w:rsidRPr="004A0C8C">
        <w:t xml:space="preserve">, l’antisemitismo e la </w:t>
      </w:r>
      <w:r w:rsidRPr="004A0C8C">
        <w:rPr>
          <w:b/>
          <w:bCs/>
        </w:rPr>
        <w:t>negazione dell’Olocausto</w:t>
      </w:r>
      <w:r w:rsidRPr="004A0C8C">
        <w:t xml:space="preserve"> sono diventati una carta politica per la dirigenza iraniana», spiega il professore </w:t>
      </w:r>
      <w:proofErr w:type="spellStart"/>
      <w:r w:rsidRPr="004A0C8C">
        <w:t>Litvak</w:t>
      </w:r>
      <w:proofErr w:type="spellEnd"/>
      <w:r w:rsidRPr="004A0C8C">
        <w:t xml:space="preserve"> dell’università di </w:t>
      </w:r>
      <w:proofErr w:type="spellStart"/>
      <w:r w:rsidRPr="004A0C8C">
        <w:t>Tel</w:t>
      </w:r>
      <w:proofErr w:type="spellEnd"/>
      <w:r w:rsidRPr="004A0C8C">
        <w:t xml:space="preserve"> Aviv. «Il ragionamento è: l’Occidente desidera distruggere l’Islam e l’appoggio a Israele è il simbolo di questo sforzo; dal momento che tale sostegno nasce dalla coscienza sporca dell’Occidente verso gli ebrei per l’Olocausto, negando la </w:t>
      </w:r>
      <w:r w:rsidRPr="004A0C8C">
        <w:rPr>
          <w:i/>
          <w:iCs/>
        </w:rPr>
        <w:t>shoah</w:t>
      </w:r>
      <w:r w:rsidRPr="004A0C8C">
        <w:t xml:space="preserve"> si mina la solidità di questo asse anti-islamico».</w:t>
      </w:r>
    </w:p>
    <w:p w:rsidR="004A0C8C" w:rsidRPr="004A0C8C" w:rsidRDefault="004A0C8C" w:rsidP="004A0C8C">
      <w:r w:rsidRPr="004A0C8C">
        <w:t xml:space="preserve">C’è anche uno sfondo più vasto, dove </w:t>
      </w:r>
      <w:proofErr w:type="gramStart"/>
      <w:r w:rsidRPr="004A0C8C">
        <w:t>giocare</w:t>
      </w:r>
      <w:proofErr w:type="gramEnd"/>
      <w:r w:rsidRPr="004A0C8C">
        <w:t xml:space="preserve"> la carta </w:t>
      </w:r>
      <w:r w:rsidRPr="004A0C8C">
        <w:rPr>
          <w:b/>
          <w:bCs/>
        </w:rPr>
        <w:t>anti-Israele</w:t>
      </w:r>
      <w:r w:rsidRPr="004A0C8C">
        <w:t xml:space="preserve"> produce consenso tra la popolazione mussulmana e nazionalista. È la </w:t>
      </w:r>
      <w:r w:rsidRPr="004A0C8C">
        <w:rPr>
          <w:b/>
          <w:bCs/>
        </w:rPr>
        <w:t>guerra “Su-sci”</w:t>
      </w:r>
      <w:r w:rsidRPr="004A0C8C">
        <w:t xml:space="preserve">, il confronto che vede schierate le potenze culturali ed economiche dell’Islam sciita contro </w:t>
      </w:r>
      <w:proofErr w:type="gramStart"/>
      <w:r w:rsidRPr="004A0C8C">
        <w:t>quelle</w:t>
      </w:r>
      <w:proofErr w:type="gramEnd"/>
      <w:r w:rsidRPr="004A0C8C">
        <w:t xml:space="preserve"> della dottrina maggioritaria sunnita, per la leadership della regione: Iran contro Arabia Saudita e Qatar, appoggiati dagli Stati Uniti. Una seconda edizione del </w:t>
      </w:r>
      <w:r w:rsidRPr="004A0C8C">
        <w:rPr>
          <w:i/>
          <w:iCs/>
        </w:rPr>
        <w:t>Grande Gioco</w:t>
      </w:r>
      <w:r w:rsidRPr="004A0C8C">
        <w:t xml:space="preserve"> combattuto </w:t>
      </w:r>
      <w:proofErr w:type="gramStart"/>
      <w:r w:rsidRPr="004A0C8C">
        <w:t>dagli imperi britannico e zarista</w:t>
      </w:r>
      <w:proofErr w:type="gramEnd"/>
      <w:r w:rsidRPr="004A0C8C">
        <w:t xml:space="preserve"> due secoli fa per in controllo della Asia meridionale, stavolta nel pieno del Medio Oriente e con la contrapposizione di potenze sì regionali, ma con </w:t>
      </w:r>
      <w:r w:rsidRPr="004A0C8C">
        <w:rPr>
          <w:b/>
          <w:bCs/>
        </w:rPr>
        <w:t>risorse petrolifere e nucleari</w:t>
      </w:r>
      <w:r w:rsidRPr="004A0C8C">
        <w:t xml:space="preserve">. </w:t>
      </w:r>
    </w:p>
    <w:p w:rsidR="004A0C8C" w:rsidRDefault="004A0C8C" w:rsidP="004A0C8C"/>
    <w:p w:rsidR="004A0C8C" w:rsidRDefault="004A0C8C" w:rsidP="004A0C8C"/>
    <w:p w:rsidR="004A0C8C" w:rsidRPr="004A0C8C" w:rsidRDefault="004A0C8C" w:rsidP="004A0C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A0C8C">
        <w:rPr>
          <w:sz w:val="20"/>
          <w:szCs w:val="20"/>
        </w:rPr>
        <w:t xml:space="preserve">La storia di </w:t>
      </w:r>
      <w:proofErr w:type="spellStart"/>
      <w:r w:rsidRPr="004A0C8C">
        <w:rPr>
          <w:sz w:val="20"/>
          <w:szCs w:val="20"/>
        </w:rPr>
        <w:t>Abdol</w:t>
      </w:r>
      <w:proofErr w:type="spellEnd"/>
      <w:r w:rsidRPr="004A0C8C">
        <w:rPr>
          <w:sz w:val="20"/>
          <w:szCs w:val="20"/>
        </w:rPr>
        <w:t xml:space="preserve"> </w:t>
      </w:r>
      <w:proofErr w:type="spellStart"/>
      <w:r w:rsidRPr="004A0C8C">
        <w:rPr>
          <w:sz w:val="20"/>
          <w:szCs w:val="20"/>
        </w:rPr>
        <w:t>Hossein</w:t>
      </w:r>
      <w:proofErr w:type="spellEnd"/>
      <w:r w:rsidRPr="004A0C8C">
        <w:rPr>
          <w:sz w:val="20"/>
          <w:szCs w:val="20"/>
        </w:rPr>
        <w:t xml:space="preserve"> </w:t>
      </w:r>
      <w:proofErr w:type="spellStart"/>
      <w:r w:rsidRPr="004A0C8C">
        <w:rPr>
          <w:sz w:val="20"/>
          <w:szCs w:val="20"/>
        </w:rPr>
        <w:t>Sardari</w:t>
      </w:r>
      <w:proofErr w:type="spellEnd"/>
      <w:r w:rsidRPr="004A0C8C">
        <w:rPr>
          <w:sz w:val="20"/>
          <w:szCs w:val="20"/>
        </w:rPr>
        <w:t xml:space="preserve"> è stata riannodata dal giornalista e docente universitario di </w:t>
      </w:r>
      <w:proofErr w:type="spellStart"/>
      <w:r w:rsidRPr="004A0C8C">
        <w:rPr>
          <w:sz w:val="20"/>
          <w:szCs w:val="20"/>
        </w:rPr>
        <w:t>Ishafan</w:t>
      </w:r>
      <w:proofErr w:type="spellEnd"/>
      <w:r w:rsidRPr="004A0C8C">
        <w:rPr>
          <w:sz w:val="20"/>
          <w:szCs w:val="20"/>
        </w:rPr>
        <w:t xml:space="preserve">, </w:t>
      </w:r>
      <w:proofErr w:type="spellStart"/>
      <w:r w:rsidRPr="004A0C8C">
        <w:rPr>
          <w:b/>
          <w:bCs/>
          <w:sz w:val="20"/>
          <w:szCs w:val="20"/>
        </w:rPr>
        <w:t>Fariborz</w:t>
      </w:r>
      <w:proofErr w:type="spellEnd"/>
      <w:r w:rsidRPr="004A0C8C">
        <w:rPr>
          <w:b/>
          <w:bCs/>
          <w:sz w:val="20"/>
          <w:szCs w:val="20"/>
        </w:rPr>
        <w:t xml:space="preserve"> </w:t>
      </w:r>
      <w:proofErr w:type="spellStart"/>
      <w:r w:rsidRPr="004A0C8C">
        <w:rPr>
          <w:b/>
          <w:bCs/>
          <w:sz w:val="20"/>
          <w:szCs w:val="20"/>
        </w:rPr>
        <w:t>Mokhtari</w:t>
      </w:r>
      <w:proofErr w:type="spellEnd"/>
      <w:r w:rsidRPr="004A0C8C">
        <w:rPr>
          <w:sz w:val="20"/>
          <w:szCs w:val="20"/>
        </w:rPr>
        <w:t>. Le vicende dello “Schindler iraniano”, sullo sfondo della Seconda guerra mondiale e delle sorti del proprio paese, sono raccolte nel volume</w:t>
      </w:r>
      <w:r w:rsidRPr="004A0C8C">
        <w:rPr>
          <w:i/>
          <w:iCs/>
          <w:sz w:val="20"/>
          <w:szCs w:val="20"/>
        </w:rPr>
        <w:t xml:space="preserve"> In the </w:t>
      </w:r>
      <w:proofErr w:type="spellStart"/>
      <w:r w:rsidRPr="004A0C8C">
        <w:rPr>
          <w:i/>
          <w:iCs/>
          <w:sz w:val="20"/>
          <w:szCs w:val="20"/>
        </w:rPr>
        <w:t>Lion’s</w:t>
      </w:r>
      <w:proofErr w:type="spellEnd"/>
      <w:r w:rsidRPr="004A0C8C">
        <w:rPr>
          <w:i/>
          <w:iCs/>
          <w:sz w:val="20"/>
          <w:szCs w:val="20"/>
        </w:rPr>
        <w:t xml:space="preserve"> </w:t>
      </w:r>
      <w:proofErr w:type="spellStart"/>
      <w:r w:rsidRPr="004A0C8C">
        <w:rPr>
          <w:i/>
          <w:iCs/>
          <w:sz w:val="20"/>
          <w:szCs w:val="20"/>
        </w:rPr>
        <w:t>Shadow</w:t>
      </w:r>
      <w:proofErr w:type="spellEnd"/>
      <w:r w:rsidRPr="004A0C8C">
        <w:rPr>
          <w:sz w:val="20"/>
          <w:szCs w:val="20"/>
        </w:rPr>
        <w:t xml:space="preserve">, pubblicato l’anno scorso. Il titolo fa riferimento al leone dorato munito di spada davanti al </w:t>
      </w:r>
      <w:proofErr w:type="gramStart"/>
      <w:r w:rsidRPr="004A0C8C">
        <w:rPr>
          <w:sz w:val="20"/>
          <w:szCs w:val="20"/>
        </w:rPr>
        <w:t>sole sorgente</w:t>
      </w:r>
      <w:proofErr w:type="gramEnd"/>
      <w:r w:rsidRPr="004A0C8C">
        <w:rPr>
          <w:sz w:val="20"/>
          <w:szCs w:val="20"/>
        </w:rPr>
        <w:t xml:space="preserve">, piazzato nel centro del tricolore verde-bianco-rosso dell’Iran prima che la rivoluzione lo rimpiazzasse con una scritta inneggiante Allah. </w:t>
      </w:r>
    </w:p>
    <w:p w:rsidR="004A0C8C" w:rsidRDefault="004A0C8C" w:rsidP="004A0C8C"/>
    <w:sectPr w:rsidR="004A0C8C" w:rsidSect="000C1D7B">
      <w:pgSz w:w="12240" w:h="15840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C8C"/>
    <w:rsid w:val="004A0C8C"/>
    <w:rsid w:val="00A6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C48D2E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4A0C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4A0C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pbmstoria.it/dizionari/storia_mod/v/v031.htm" TargetMode="External"/><Relationship Id="rId6" Type="http://schemas.openxmlformats.org/officeDocument/2006/relationships/hyperlink" Target="http://www.pbmstoria.it/dizionari/storia_mod/k/k023.htm" TargetMode="External"/><Relationship Id="rId7" Type="http://schemas.openxmlformats.org/officeDocument/2006/relationships/hyperlink" Target="http://www.pbmstoria.it/dizionari/storia_mod/i/i082.ht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1923</Words>
  <Characters>10965</Characters>
  <Application>Microsoft Macintosh Word</Application>
  <DocSecurity>0</DocSecurity>
  <Lines>91</Lines>
  <Paragraphs>25</Paragraphs>
  <ScaleCrop>false</ScaleCrop>
  <Company/>
  <LinksUpToDate>false</LinksUpToDate>
  <CharactersWithSpaces>12863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Sironi</dc:creator>
  <cp:keywords/>
  <dc:description/>
  <cp:lastModifiedBy>Serena Sironi</cp:lastModifiedBy>
  <cp:revision>1</cp:revision>
  <dcterms:created xsi:type="dcterms:W3CDTF">2013-03-06T09:08:00Z</dcterms:created>
  <dcterms:modified xsi:type="dcterms:W3CDTF">2013-03-06T09:10:00Z</dcterms:modified>
</cp:coreProperties>
</file>