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49F85B" w14:textId="77777777" w:rsidR="00732109" w:rsidRPr="00732109" w:rsidRDefault="00732109" w:rsidP="00732109">
      <w:r w:rsidRPr="00732109">
        <w:t xml:space="preserve">Marco Fossati ha insegnato storia e filosofia al Liceo classico “G. Berchet” di Milano. </w:t>
      </w:r>
      <w:r w:rsidRPr="00732109">
        <w:br/>
        <w:t>Per Edizioni Scolastiche Bruno Mondadori è autore di numerosi manuali di storia per le scuole superiori.</w:t>
      </w:r>
    </w:p>
    <w:p w14:paraId="16C96A44" w14:textId="77777777" w:rsidR="00A67858" w:rsidRDefault="00A67858"/>
    <w:p w14:paraId="47FE76D0" w14:textId="77777777" w:rsidR="00732109" w:rsidRPr="00732109" w:rsidRDefault="00732109" w:rsidP="00732109">
      <w:pPr>
        <w:jc w:val="center"/>
        <w:rPr>
          <w:b/>
          <w:bCs/>
          <w:sz w:val="32"/>
          <w:szCs w:val="32"/>
        </w:rPr>
      </w:pPr>
      <w:r w:rsidRPr="00732109">
        <w:rPr>
          <w:b/>
          <w:bCs/>
          <w:sz w:val="32"/>
          <w:szCs w:val="32"/>
        </w:rPr>
        <w:t>SHOAH E STATO D’ISRAELE</w:t>
      </w:r>
    </w:p>
    <w:p w14:paraId="0820E7AD" w14:textId="77777777" w:rsidR="00732109" w:rsidRPr="00732109" w:rsidRDefault="00732109" w:rsidP="00732109">
      <w:pPr>
        <w:jc w:val="center"/>
        <w:rPr>
          <w:sz w:val="32"/>
          <w:szCs w:val="32"/>
        </w:rPr>
      </w:pPr>
      <w:r w:rsidRPr="00732109">
        <w:rPr>
          <w:iCs/>
          <w:sz w:val="32"/>
          <w:szCs w:val="32"/>
        </w:rPr>
        <w:t>Shoah</w:t>
      </w:r>
      <w:r w:rsidRPr="00732109">
        <w:rPr>
          <w:sz w:val="32"/>
          <w:szCs w:val="32"/>
        </w:rPr>
        <w:t xml:space="preserve"> e </w:t>
      </w:r>
      <w:r w:rsidRPr="00732109">
        <w:rPr>
          <w:iCs/>
          <w:sz w:val="32"/>
          <w:szCs w:val="32"/>
        </w:rPr>
        <w:t>nakbah</w:t>
      </w:r>
      <w:r w:rsidRPr="00732109">
        <w:rPr>
          <w:sz w:val="32"/>
          <w:szCs w:val="32"/>
        </w:rPr>
        <w:t>:</w:t>
      </w:r>
    </w:p>
    <w:p w14:paraId="716490B7" w14:textId="77777777" w:rsidR="00732109" w:rsidRPr="00732109" w:rsidRDefault="00732109" w:rsidP="00732109">
      <w:pPr>
        <w:jc w:val="center"/>
        <w:rPr>
          <w:sz w:val="32"/>
          <w:szCs w:val="32"/>
        </w:rPr>
      </w:pPr>
      <w:r w:rsidRPr="00732109">
        <w:rPr>
          <w:sz w:val="32"/>
          <w:szCs w:val="32"/>
        </w:rPr>
        <w:t>il conflitto delle narrazioni</w:t>
      </w:r>
    </w:p>
    <w:p w14:paraId="3A10B783" w14:textId="77777777" w:rsidR="00732109" w:rsidRDefault="00732109" w:rsidP="00732109"/>
    <w:p w14:paraId="2E5D0052" w14:textId="77777777" w:rsidR="00732109" w:rsidRPr="00732109" w:rsidRDefault="00732109" w:rsidP="00732109">
      <w:r w:rsidRPr="00732109">
        <w:rPr>
          <w:i/>
          <w:iCs/>
        </w:rPr>
        <w:t xml:space="preserve">I legami che intrecciano la </w:t>
      </w:r>
      <w:r w:rsidRPr="00732109">
        <w:t>shoah</w:t>
      </w:r>
      <w:r w:rsidRPr="00732109">
        <w:rPr>
          <w:i/>
          <w:iCs/>
        </w:rPr>
        <w:t xml:space="preserve"> con la storia dello stato di Israele sono così profondi che è difficile, parlando dell’una non fare cenno anche all’altro, e viceversa. Tenere separati i due argomenti, come spesso si pretende di fare per paura di arrischiarsi su un terreno delicato (come effettivamente è), appare ingiustificato e controproducente soprattutto quando a scuola sono i ragazzi a porre il problema. Proviamo, nel testo che segue, a fissare alcuni punti per orientarci su questo terreno</w:t>
      </w:r>
      <w:r w:rsidRPr="00732109">
        <w:t>.</w:t>
      </w:r>
    </w:p>
    <w:p w14:paraId="40E21A90" w14:textId="77777777" w:rsidR="00732109" w:rsidRDefault="00732109" w:rsidP="00732109"/>
    <w:p w14:paraId="3D21D8CF" w14:textId="77777777" w:rsidR="00732109" w:rsidRDefault="00732109" w:rsidP="00732109"/>
    <w:p w14:paraId="56875683" w14:textId="77777777" w:rsidR="00732109" w:rsidRPr="00732109" w:rsidRDefault="00732109" w:rsidP="00732109">
      <w:pPr>
        <w:rPr>
          <w:b/>
          <w:bCs/>
        </w:rPr>
      </w:pPr>
      <w:r w:rsidRPr="00732109">
        <w:rPr>
          <w:b/>
          <w:bCs/>
        </w:rPr>
        <w:t xml:space="preserve">Israele è minacciato da una nuova </w:t>
      </w:r>
      <w:r w:rsidRPr="00732109">
        <w:rPr>
          <w:b/>
          <w:bCs/>
          <w:i/>
          <w:iCs/>
        </w:rPr>
        <w:t>shoah</w:t>
      </w:r>
      <w:r w:rsidRPr="00732109">
        <w:rPr>
          <w:b/>
          <w:bCs/>
        </w:rPr>
        <w:t>?</w:t>
      </w:r>
    </w:p>
    <w:p w14:paraId="210ECD36" w14:textId="77777777" w:rsidR="00732109" w:rsidRPr="00732109" w:rsidRDefault="00732109" w:rsidP="00732109">
      <w:r w:rsidRPr="00732109">
        <w:t xml:space="preserve">“Ancora una volta l’Europa ignora gli appelli alla distruzione di Israele. […] Ci siamo già passati alla fine degli anni trenta e negli anni quaranta […] Sapevano fin dall’inizio che cosa stava succedendo nei campi di concentramento, che cosa stava succedendo agli ebrei, e non hanno fatto nulla.” </w:t>
      </w:r>
      <w:r w:rsidRPr="00732109">
        <w:rPr>
          <w:lang w:val="en-GB"/>
        </w:rPr>
        <w:t>[</w:t>
      </w:r>
      <w:r w:rsidRPr="00732109">
        <w:rPr>
          <w:i/>
          <w:iCs/>
          <w:lang w:val="en-GB"/>
        </w:rPr>
        <w:t>Lieberman invokes the Holocaust to slam Europe’s Israel policy</w:t>
      </w:r>
      <w:r w:rsidRPr="00732109">
        <w:rPr>
          <w:lang w:val="en-GB"/>
        </w:rPr>
        <w:t xml:space="preserve">, “Haaretz” 11 dicembre 2012]. </w:t>
      </w:r>
      <w:r w:rsidRPr="00732109">
        <w:t xml:space="preserve">A parlare così è stato, lo scorso dicembre, il ministro degli esteri israeliano </w:t>
      </w:r>
      <w:r w:rsidRPr="00732109">
        <w:rPr>
          <w:b/>
          <w:bCs/>
        </w:rPr>
        <w:t>Avigdor Lieberman</w:t>
      </w:r>
      <w:r w:rsidRPr="00732109">
        <w:t xml:space="preserve"> all’indomani della condanna, pronunciata dall’Unione Europea, contro i nuovi </w:t>
      </w:r>
      <w:r w:rsidRPr="00732109">
        <w:rPr>
          <w:b/>
          <w:bCs/>
        </w:rPr>
        <w:t>insediamenti nei territori occupati</w:t>
      </w:r>
      <w:r w:rsidRPr="00732109">
        <w:t xml:space="preserve"> annunciati dal governo di Gerusalemme come ritorsione contro il voto dell’Onu che ha riconosciuto alla </w:t>
      </w:r>
      <w:r w:rsidRPr="00732109">
        <w:rPr>
          <w:b/>
          <w:bCs/>
        </w:rPr>
        <w:t>Palestina</w:t>
      </w:r>
      <w:r w:rsidRPr="00732109">
        <w:t xml:space="preserve"> il ruolo di </w:t>
      </w:r>
      <w:r w:rsidRPr="00732109">
        <w:rPr>
          <w:b/>
          <w:bCs/>
        </w:rPr>
        <w:t>Stato osservatore</w:t>
      </w:r>
      <w:r w:rsidRPr="00732109">
        <w:t xml:space="preserve">. Quasi tutti i commenti comparsi nei giorni seguenti sui giornali (anche israeliani) hanno stigmatizzato queste dichiarazioni considerando che fosse fuori luogo evocare la </w:t>
      </w:r>
      <w:r w:rsidRPr="00732109">
        <w:rPr>
          <w:i/>
          <w:iCs/>
        </w:rPr>
        <w:t>shoah</w:t>
      </w:r>
      <w:r w:rsidRPr="00732109">
        <w:t xml:space="preserve"> in una circostanza come questa. Ma parole così non sono certo una novità in bocca ai dirigenti politici israeliani e prima che da Lieberman, leader della estrema destra violentemente antiaraba, il paragone fra la condizione degli ebrei europei sotto il dominio nazista e quella in cui si troverebbe oggi Israele è stato fatto da molti altri esponenti politici di quel paese.</w:t>
      </w:r>
    </w:p>
    <w:p w14:paraId="4FE3607D" w14:textId="77777777" w:rsidR="00732109" w:rsidRPr="00732109" w:rsidRDefault="00732109" w:rsidP="00732109"/>
    <w:p w14:paraId="60F98D60" w14:textId="77777777" w:rsidR="00732109" w:rsidRPr="00732109" w:rsidRDefault="00732109" w:rsidP="00732109">
      <w:pPr>
        <w:rPr>
          <w:b/>
          <w:bCs/>
        </w:rPr>
      </w:pPr>
      <w:r w:rsidRPr="00732109">
        <w:rPr>
          <w:b/>
          <w:bCs/>
        </w:rPr>
        <w:t xml:space="preserve">Usare la </w:t>
      </w:r>
      <w:r w:rsidRPr="00732109">
        <w:rPr>
          <w:b/>
          <w:bCs/>
          <w:i/>
          <w:iCs/>
        </w:rPr>
        <w:t>shoah</w:t>
      </w:r>
      <w:r w:rsidRPr="00732109">
        <w:rPr>
          <w:b/>
          <w:bCs/>
        </w:rPr>
        <w:t xml:space="preserve"> per criminalizzare l’avversario</w:t>
      </w:r>
    </w:p>
    <w:p w14:paraId="60B18047" w14:textId="77777777" w:rsidR="00732109" w:rsidRPr="00732109" w:rsidRDefault="00732109" w:rsidP="00732109">
      <w:r w:rsidRPr="00732109">
        <w:t xml:space="preserve">Gli esempi sono numerosi: dal presidente egiziano </w:t>
      </w:r>
      <w:r w:rsidRPr="00732109">
        <w:rPr>
          <w:b/>
          <w:bCs/>
        </w:rPr>
        <w:t>Nasser</w:t>
      </w:r>
      <w:r w:rsidRPr="00732109">
        <w:t xml:space="preserve">, ritratto come il capo della Germania nazista al tempo della Guerra dei Sei Giorni, al primo ministro israeliano </w:t>
      </w:r>
      <w:r w:rsidRPr="00732109">
        <w:rPr>
          <w:b/>
          <w:bCs/>
        </w:rPr>
        <w:t>Begin</w:t>
      </w:r>
      <w:r w:rsidRPr="00732109">
        <w:t xml:space="preserve"> che, durante l’assedio di </w:t>
      </w:r>
      <w:r w:rsidRPr="00732109">
        <w:rPr>
          <w:b/>
          <w:bCs/>
        </w:rPr>
        <w:t>Beirut</w:t>
      </w:r>
      <w:r w:rsidRPr="00732109">
        <w:t xml:space="preserve"> del 1982, confessava commosso al presidente americano Reagan di sentirsi emozionato come se fosse stato alla testa di “un valoroso esercito schierato di fronte a </w:t>
      </w:r>
      <w:r w:rsidRPr="00732109">
        <w:rPr>
          <w:b/>
          <w:bCs/>
        </w:rPr>
        <w:t>Berlino</w:t>
      </w:r>
      <w:r w:rsidRPr="00732109">
        <w:t xml:space="preserve"> dove, in mezzo a civili innocenti, </w:t>
      </w:r>
      <w:r w:rsidRPr="00732109">
        <w:rPr>
          <w:b/>
          <w:bCs/>
        </w:rPr>
        <w:t>Hitler</w:t>
      </w:r>
      <w:r w:rsidRPr="00732109">
        <w:t xml:space="preserve"> e i suoi scagnozzi si nascondono in un bunker sottoterra”. In questo caso a rappresentare i nazisti c’erano i militanti dell’</w:t>
      </w:r>
      <w:r w:rsidRPr="00732109">
        <w:rPr>
          <w:b/>
          <w:bCs/>
        </w:rPr>
        <w:t>OLP</w:t>
      </w:r>
      <w:r w:rsidRPr="00732109">
        <w:t xml:space="preserve"> e l’improbabile reincarnazione di Hitler era il loro presidente </w:t>
      </w:r>
      <w:r w:rsidRPr="00732109">
        <w:rPr>
          <w:b/>
          <w:bCs/>
        </w:rPr>
        <w:t>Yasser Arafat</w:t>
      </w:r>
      <w:r w:rsidRPr="00732109">
        <w:t xml:space="preserve">. Del resto, paragoni di questo genere non hanno risparmiato neppure i dirigenti israeliani accusati di complicità con gli arabi, come è accaduto al primo ministro </w:t>
      </w:r>
      <w:r w:rsidRPr="00732109">
        <w:rPr>
          <w:b/>
          <w:bCs/>
        </w:rPr>
        <w:t>Rabin</w:t>
      </w:r>
      <w:r w:rsidRPr="00732109">
        <w:t xml:space="preserve"> che, dopo gli </w:t>
      </w:r>
      <w:r w:rsidRPr="00732109">
        <w:rPr>
          <w:b/>
          <w:bCs/>
          <w:color w:val="FF0000"/>
        </w:rPr>
        <w:t>accordi di Oslo</w:t>
      </w:r>
      <w:r w:rsidRPr="00732109">
        <w:rPr>
          <w:b/>
          <w:bCs/>
        </w:rPr>
        <w:t xml:space="preserve"> </w:t>
      </w:r>
      <w:r w:rsidRPr="00732109">
        <w:t>, e poco prima di essere assassinato a motivo di questi da un ebreo fondamentalista, veniva raffigurato in veste di SS su manifesti che l’estrema destra affiggeva nelle strade.</w:t>
      </w:r>
    </w:p>
    <w:p w14:paraId="14930CEC" w14:textId="77777777" w:rsidR="00732109" w:rsidRPr="00732109" w:rsidRDefault="00732109" w:rsidP="00732109">
      <w:r w:rsidRPr="00732109">
        <w:t xml:space="preserve">Si potrebbe osservare che esagerazioni analoghe, per motivi polemici o per propaganda, compaiono facilmente quando cresce la violenza dello scontro politico e che, una volta trasformati Hitler e la Germania nazista nel paradigma del male assoluto, la loro immagine sembra a molti uno strumento utile per </w:t>
      </w:r>
      <w:r w:rsidRPr="00732109">
        <w:rPr>
          <w:b/>
          <w:bCs/>
        </w:rPr>
        <w:t>criminalizzare gli avversari</w:t>
      </w:r>
      <w:r w:rsidRPr="00732109">
        <w:t xml:space="preserve">. Non si faceva così anche nei cortei degli anni settanta quando </w:t>
      </w:r>
      <w:r w:rsidRPr="00732109">
        <w:rPr>
          <w:b/>
          <w:bCs/>
        </w:rPr>
        <w:t>“PS: SS”</w:t>
      </w:r>
      <w:r w:rsidRPr="00732109">
        <w:t xml:space="preserve"> era il grido ricorrente che salutava la comparsa della polizia? E non si fa così anche oggi quando, per attaccare la politica rigorista della Germania in campo europeo si evoca la vocazione dominatrice del Terzo Reich? Si potrebbe liquidare questo come un </w:t>
      </w:r>
      <w:r w:rsidRPr="00732109">
        <w:rPr>
          <w:b/>
          <w:bCs/>
        </w:rPr>
        <w:t>eccesso polemico</w:t>
      </w:r>
      <w:r w:rsidRPr="00732109">
        <w:t xml:space="preserve">, figlio dell’estremismo verbale dominante. Se non che, quando c’è di mezzo Israele, per ragioni che dovrebbero essere ovvie per tutti, i </w:t>
      </w:r>
      <w:r w:rsidRPr="00732109">
        <w:lastRenderedPageBreak/>
        <w:t xml:space="preserve">riferimenti alla </w:t>
      </w:r>
      <w:r w:rsidRPr="00732109">
        <w:rPr>
          <w:i/>
          <w:iCs/>
        </w:rPr>
        <w:t>shoah</w:t>
      </w:r>
      <w:r w:rsidRPr="00732109">
        <w:t xml:space="preserve"> e al nazismo non possono essere trattati come argomenti retorici. E meritano qualche riflessione in più.</w:t>
      </w:r>
    </w:p>
    <w:p w14:paraId="68636724" w14:textId="77777777" w:rsidR="00732109" w:rsidRPr="00732109" w:rsidRDefault="00732109" w:rsidP="00732109"/>
    <w:p w14:paraId="4878ACC4" w14:textId="77777777" w:rsidR="00732109" w:rsidRPr="00732109" w:rsidRDefault="00732109" w:rsidP="00732109">
      <w:pPr>
        <w:rPr>
          <w:b/>
          <w:bCs/>
        </w:rPr>
      </w:pPr>
      <w:r w:rsidRPr="00732109">
        <w:rPr>
          <w:b/>
          <w:bCs/>
        </w:rPr>
        <w:t>Antisemitismo o nazionalismi contrapposti?</w:t>
      </w:r>
    </w:p>
    <w:p w14:paraId="5888A921" w14:textId="77777777" w:rsidR="00732109" w:rsidRPr="00732109" w:rsidRDefault="00732109" w:rsidP="00732109">
      <w:r w:rsidRPr="00732109">
        <w:t xml:space="preserve">Israele ha molti nemici nei paesi musulmani, in particolare in quelli arabi. Anzi, si può dire che il mondo arabo-islamico sia complessivamente ostile a quello Stato da quando esso è comparso sulla carta geografica. E, ancora da prima, da quando se ne progettava la fondazione. Di questa </w:t>
      </w:r>
      <w:r w:rsidRPr="00732109">
        <w:rPr>
          <w:b/>
          <w:bCs/>
        </w:rPr>
        <w:t xml:space="preserve">ostilità </w:t>
      </w:r>
      <w:r w:rsidRPr="00732109">
        <w:t xml:space="preserve">vanno ricercate </w:t>
      </w:r>
      <w:r w:rsidRPr="00732109">
        <w:rPr>
          <w:b/>
          <w:bCs/>
        </w:rPr>
        <w:t>cause storiche</w:t>
      </w:r>
      <w:r w:rsidRPr="00732109">
        <w:t xml:space="preserve"> oppure, poiché Israele si autodefinisce </w:t>
      </w:r>
      <w:r w:rsidRPr="00732109">
        <w:rPr>
          <w:b/>
          <w:bCs/>
        </w:rPr>
        <w:t>Stato ebraico</w:t>
      </w:r>
      <w:r w:rsidRPr="00732109">
        <w:t xml:space="preserve">, si dovrà riconoscere in essa un fondamento di odio razziale, di </w:t>
      </w:r>
      <w:r w:rsidRPr="00732109">
        <w:rPr>
          <w:b/>
          <w:bCs/>
        </w:rPr>
        <w:t>antisemitismo</w:t>
      </w:r>
      <w:r w:rsidRPr="00732109">
        <w:t xml:space="preserve">? La storia ci dice che quest’ultimo è un prodotto dell’Occidente cristiano e che gli ebrei non sono mai stati oggetto di una particolare inimicizia nel mondo islamico, al di là della emarginazione che subivano, come del resto i cristiani, per via della concorrenza fra religioni rivali. Al contrario, hanno trovato spesso protezione dalle </w:t>
      </w:r>
      <w:r w:rsidRPr="00732109">
        <w:rPr>
          <w:b/>
          <w:bCs/>
        </w:rPr>
        <w:t>persecuzioni</w:t>
      </w:r>
      <w:r w:rsidRPr="00732109">
        <w:t xml:space="preserve"> che scatenava contro di loro l’</w:t>
      </w:r>
      <w:r w:rsidRPr="00732109">
        <w:rPr>
          <w:b/>
          <w:bCs/>
        </w:rPr>
        <w:t xml:space="preserve">antigiudaismo cristiano </w:t>
      </w:r>
      <w:r w:rsidRPr="00732109">
        <w:t xml:space="preserve">come avvenne, per fare l’esempio più rilevante, alla fine del XV secolo con le leggi sulla limpidezza del sangue e i </w:t>
      </w:r>
      <w:r w:rsidRPr="00732109">
        <w:rPr>
          <w:b/>
          <w:bCs/>
          <w:color w:val="FF0000"/>
        </w:rPr>
        <w:t>decreti di espulsione dalla Spagna</w:t>
      </w:r>
      <w:r w:rsidRPr="00732109">
        <w:t xml:space="preserve">. </w:t>
      </w:r>
    </w:p>
    <w:p w14:paraId="0DCD2D3C" w14:textId="77777777" w:rsidR="00732109" w:rsidRPr="00732109" w:rsidRDefault="00732109" w:rsidP="00732109">
      <w:r w:rsidRPr="00732109">
        <w:t xml:space="preserve">Questo quadro è però cambiato, all’inizio del XX secolo, dopo la comparsa del </w:t>
      </w:r>
      <w:r w:rsidRPr="00732109">
        <w:rPr>
          <w:b/>
          <w:bCs/>
          <w:color w:val="FF0000"/>
        </w:rPr>
        <w:t>movimento sionista</w:t>
      </w:r>
      <w:r w:rsidRPr="00732109">
        <w:t xml:space="preserve"> e degli </w:t>
      </w:r>
      <w:r w:rsidRPr="00732109">
        <w:rPr>
          <w:b/>
          <w:bCs/>
        </w:rPr>
        <w:t>insediamenti ebraici in Palestina</w:t>
      </w:r>
      <w:r w:rsidRPr="00732109">
        <w:t xml:space="preserve">. Da allora gli ebrei che si trasferivano a vivere in quel territorio sono diventati degli antagonisti per la popolazione residente. Erano gli anni in cui, ispirato all’esempio dei movimenti che, nel secolo precedente, avevano sconvolto il profilo dell’Europa, stava nascendo un </w:t>
      </w:r>
      <w:r w:rsidRPr="00732109">
        <w:rPr>
          <w:b/>
          <w:bCs/>
        </w:rPr>
        <w:t>nazionalismo arabo</w:t>
      </w:r>
      <w:r w:rsidRPr="00732109">
        <w:t xml:space="preserve"> analogo, in questo senso, al </w:t>
      </w:r>
      <w:r w:rsidRPr="00732109">
        <w:rPr>
          <w:b/>
          <w:bCs/>
        </w:rPr>
        <w:t>sionismo</w:t>
      </w:r>
      <w:r w:rsidRPr="00732109">
        <w:t xml:space="preserve"> e con esso direttamente antagonista.</w:t>
      </w:r>
    </w:p>
    <w:p w14:paraId="134D0CE6" w14:textId="77777777" w:rsidR="00732109" w:rsidRPr="00732109" w:rsidRDefault="00732109" w:rsidP="00732109"/>
    <w:p w14:paraId="0DF48C94" w14:textId="77777777" w:rsidR="00732109" w:rsidRPr="00732109" w:rsidRDefault="00732109" w:rsidP="00732109">
      <w:pPr>
        <w:rPr>
          <w:b/>
          <w:bCs/>
        </w:rPr>
      </w:pPr>
      <w:r w:rsidRPr="00732109">
        <w:rPr>
          <w:b/>
          <w:bCs/>
        </w:rPr>
        <w:t>“Il nemico del mio nemico è mio amico”</w:t>
      </w:r>
    </w:p>
    <w:p w14:paraId="79C1C601" w14:textId="77777777" w:rsidR="00732109" w:rsidRPr="00732109" w:rsidRDefault="00732109" w:rsidP="00732109">
      <w:r w:rsidRPr="00732109">
        <w:t xml:space="preserve">Avversario comune dei due movimenti, negli anni del primo dopoguerra, era il </w:t>
      </w:r>
      <w:r w:rsidRPr="00732109">
        <w:rPr>
          <w:b/>
          <w:bCs/>
        </w:rPr>
        <w:t>colonialismo britannico</w:t>
      </w:r>
      <w:r w:rsidRPr="00732109">
        <w:t xml:space="preserve"> che, dall’Egitto all’Iraq, teneva sotto il proprio controllo una larga parte dei territori mediorientali e fra questi la Palestina. Lì si giocava, fra tre concorrenti, </w:t>
      </w:r>
      <w:r w:rsidRPr="00732109">
        <w:rPr>
          <w:b/>
          <w:bCs/>
        </w:rPr>
        <w:t>una partita di tutti contro tutti</w:t>
      </w:r>
      <w:r w:rsidRPr="00732109">
        <w:t xml:space="preserve"> che, inevitabilmente, doveva risentire di quanto contemporaneamente accadeva nel teatro europeo. Quando negli anni trenta, prima in Germania e poi in Italia, iniziò la </w:t>
      </w:r>
      <w:r w:rsidRPr="00732109">
        <w:rPr>
          <w:b/>
          <w:bCs/>
        </w:rPr>
        <w:t>persecuzione degli ebrei</w:t>
      </w:r>
      <w:r w:rsidRPr="00732109">
        <w:t xml:space="preserve">, questa accrebbe le motivazioni dei sionisti che vedevano confermate e rese più urgenti le ragioni del loro progetto di </w:t>
      </w:r>
      <w:r w:rsidRPr="00732109">
        <w:rPr>
          <w:b/>
          <w:bCs/>
        </w:rPr>
        <w:t>dare agli ebrei uno Stato</w:t>
      </w:r>
      <w:r w:rsidRPr="00732109">
        <w:t xml:space="preserve"> dove vivere in sicurezza. Fra i nazionalisti arabi le reazioni furono differenti: da una parte, crebbe la protesta contro l’Inghilterra e gli altri paesi occidentali che non si adoperavano per </w:t>
      </w:r>
      <w:r w:rsidRPr="00732109">
        <w:rPr>
          <w:b/>
          <w:bCs/>
        </w:rPr>
        <w:t xml:space="preserve">accogliere gli ebrei in fuga </w:t>
      </w:r>
      <w:r w:rsidRPr="00732109">
        <w:t xml:space="preserve">e così suggerivano loro, implicitamente, l’alternativa palestinese; dall’altra, le frange del </w:t>
      </w:r>
      <w:r w:rsidRPr="00732109">
        <w:rPr>
          <w:b/>
          <w:bCs/>
        </w:rPr>
        <w:t>nascente radicalismo islamico</w:t>
      </w:r>
      <w:r w:rsidRPr="00732109">
        <w:t xml:space="preserve"> si mostravano inclini a volgere in </w:t>
      </w:r>
      <w:r w:rsidRPr="00732109">
        <w:rPr>
          <w:b/>
          <w:bCs/>
        </w:rPr>
        <w:t>odio antiebraico</w:t>
      </w:r>
      <w:r w:rsidRPr="00732109">
        <w:t xml:space="preserve"> il sentimento di rivalità che nutrivano verso il sionismo ed erano disponibili a incorporare nel proprio apparato politico e ideologico le nuove e acute forme di antisemitismo che l’Europa era pronta a esportare. La logica politica che orientava questi ambienti era quella, semplicistica ma di vasta diffusione non solo lì e non solo allora, secondo cui </w:t>
      </w:r>
      <w:r w:rsidRPr="00732109">
        <w:rPr>
          <w:b/>
          <w:bCs/>
        </w:rPr>
        <w:t>il nemico del mio nemico è un mio amico</w:t>
      </w:r>
      <w:r w:rsidRPr="00732109">
        <w:t xml:space="preserve">. Essa si applicava all’avversario sionista e, con l’inizio della guerra mondiale, si sarebbe presto estesa all’Inghilterra. È questa la ragione principale della solidarietà diffusa di cui hanno goduto le forze del Terzo Reich nel mondo arabo fra gli anni trenta e quaranta. </w:t>
      </w:r>
    </w:p>
    <w:p w14:paraId="19D61611" w14:textId="77777777" w:rsidR="00732109" w:rsidRPr="00732109" w:rsidRDefault="00732109" w:rsidP="00732109"/>
    <w:p w14:paraId="45194DD6" w14:textId="77777777" w:rsidR="00732109" w:rsidRPr="00732109" w:rsidRDefault="00732109" w:rsidP="00732109">
      <w:pPr>
        <w:rPr>
          <w:b/>
          <w:bCs/>
        </w:rPr>
      </w:pPr>
      <w:r w:rsidRPr="00732109">
        <w:rPr>
          <w:b/>
          <w:bCs/>
        </w:rPr>
        <w:t>Modi diversi di allearsi con i tedeschi: Gran Muftì di Gerusalemme e Anwar al Sadat</w:t>
      </w:r>
    </w:p>
    <w:p w14:paraId="76CBE567" w14:textId="77777777" w:rsidR="00732109" w:rsidRPr="00732109" w:rsidRDefault="00732109" w:rsidP="00732109">
      <w:r w:rsidRPr="00732109">
        <w:t xml:space="preserve">Qui è però necessario fare una distinzione fra quanti si limitavano a una scelta tattica e contingente e quanti, invece, nell’appoggiare la Germania in guerra contro l’odiata Inghilterra, ne condividevano anche la proposta politica razzista e, in particolare, l’antisemitismo. Fra questi, particolarmente numerosi nei gruppi fondamentalisti di ispirazione pan-islamista, spicca la figura di </w:t>
      </w:r>
      <w:r w:rsidRPr="00732109">
        <w:rPr>
          <w:b/>
          <w:bCs/>
        </w:rPr>
        <w:t>Amin al Husseini</w:t>
      </w:r>
      <w:r w:rsidRPr="00732109">
        <w:t xml:space="preserve">, il Gran Muftì di Gerusalemme ovvero la suprema autorità </w:t>
      </w:r>
      <w:r w:rsidRPr="00732109">
        <w:rPr>
          <w:b/>
          <w:bCs/>
          <w:color w:val="FF0000"/>
        </w:rPr>
        <w:t>sunnita</w:t>
      </w:r>
      <w:r>
        <w:t xml:space="preserve"> </w:t>
      </w:r>
      <w:r w:rsidRPr="00732109">
        <w:t xml:space="preserve">della città e leader riconosciuto del nazionalismo palestinese di quegli anni. È indubbio che costui sia stato un entusiasta </w:t>
      </w:r>
      <w:r w:rsidRPr="00732109">
        <w:rPr>
          <w:b/>
          <w:bCs/>
        </w:rPr>
        <w:t>ammiratore di Mussolini e Hitler</w:t>
      </w:r>
      <w:r w:rsidRPr="00732109">
        <w:t xml:space="preserve">, al punto di cercare rifugio presso quest’ultimo a Berlino per sfuggire agli inglesi. Questo, unitamente al ruolo che ebbe presso la sua gente, è una delle prove più spesso invocate da israeliani e filo-israeliani per dimostrare che i palestinesi e gli arabi che li sostengono si ispirano al nazismo quando contrastano lo Stato di Israele e la sua politica. Ma l’importanza di Amin al Husseini nella vicenda mediorientale è stata fin troppo enfatizzata e la sua figura di leader arabo filo-nazista è bilanciata da quelle di chi non si lasciò sedurre dalla propaganda tedesca e di chi, pur appoggiando per scelta tattica le forze armate della Germania, non aderì mai al suo progetto politico. L’esempio forse più significativo, in questo caso, è quello di </w:t>
      </w:r>
      <w:r w:rsidRPr="00732109">
        <w:rPr>
          <w:b/>
          <w:bCs/>
        </w:rPr>
        <w:t>Anwar al Sadat</w:t>
      </w:r>
      <w:r w:rsidRPr="00732109">
        <w:t xml:space="preserve">, giovane membro del gruppo di “liberi ufficiali” che, durante la guerra, si adoperavano per l’indipendenza dell’Egitto e che da lì a pochi anni avrebbero preso il potere in quel paese liberandolo definitivamente dal colonialismo britannico. Nel 1942, alla vigilia di </w:t>
      </w:r>
      <w:r w:rsidRPr="00732109">
        <w:rPr>
          <w:b/>
          <w:bCs/>
          <w:color w:val="FF0000"/>
        </w:rPr>
        <w:t>El Alamein</w:t>
      </w:r>
      <w:r w:rsidRPr="00732109">
        <w:t xml:space="preserve">, era Sadat a tenere i collegamenti fra gli indipendentisti egiziani e l’esercito di </w:t>
      </w:r>
      <w:r w:rsidRPr="00732109">
        <w:rPr>
          <w:b/>
          <w:bCs/>
        </w:rPr>
        <w:t>Rommell</w:t>
      </w:r>
      <w:r w:rsidRPr="00732109">
        <w:t xml:space="preserve"> dal quale essi si aspettavano di vedere battuto il loro nemico inglese. Il futuro presidente egiziano non fece mai mistero delle simpatie che ebbe allora per la Germania, delle quali anzi parlò diffusamente nella sua autobiografia (</w:t>
      </w:r>
      <w:r w:rsidRPr="00732109">
        <w:rPr>
          <w:i/>
          <w:iCs/>
        </w:rPr>
        <w:t>In cerca di una identità</w:t>
      </w:r>
      <w:r w:rsidRPr="00732109">
        <w:t>, Mondadori, Milano 1978), ma non mostrò mai inclinazioni per le idee razziste che si coltivavano in quel paese. Oggi è fra i pochi dirigenti arabi il cui ricordo sia onorato e rispettato in Israele, dato che fu il primo a riconoscerne la legittimità firmando con esso un trattato di pace che, pochi anni dopo, gli costò la vita.</w:t>
      </w:r>
    </w:p>
    <w:p w14:paraId="072C9862" w14:textId="77777777" w:rsidR="00732109" w:rsidRPr="00732109" w:rsidRDefault="00732109" w:rsidP="00732109"/>
    <w:p w14:paraId="54DE93BC" w14:textId="77777777" w:rsidR="00732109" w:rsidRPr="00732109" w:rsidRDefault="00732109" w:rsidP="00732109">
      <w:pPr>
        <w:rPr>
          <w:b/>
          <w:bCs/>
        </w:rPr>
      </w:pPr>
      <w:r w:rsidRPr="00732109">
        <w:rPr>
          <w:b/>
          <w:bCs/>
        </w:rPr>
        <w:t>Gli sviluppi della situazione in Palestina alla fine della guerra</w:t>
      </w:r>
    </w:p>
    <w:p w14:paraId="79D66C9C" w14:textId="77777777" w:rsidR="00732109" w:rsidRPr="00732109" w:rsidRDefault="00732109" w:rsidP="00732109">
      <w:r w:rsidRPr="00732109">
        <w:t xml:space="preserve">È vero tuttavia che nella trappola del ragionamento che faceva diventare il nemico del nemico un proprio alleato non caddero tutti i dirigenti nazionalisti. E certo non vi cadde </w:t>
      </w:r>
      <w:r w:rsidRPr="00732109">
        <w:rPr>
          <w:b/>
          <w:bCs/>
        </w:rPr>
        <w:t>Ben Gurion</w:t>
      </w:r>
      <w:r w:rsidRPr="00732109">
        <w:t>, il capo dell’</w:t>
      </w:r>
      <w:r w:rsidRPr="00732109">
        <w:rPr>
          <w:i/>
          <w:iCs/>
        </w:rPr>
        <w:t>Yishuv</w:t>
      </w:r>
      <w:r w:rsidRPr="00732109">
        <w:t xml:space="preserve">, la comunità ebraica che risiedeva in Palestina durante il mandato britannico, il quale si battè sempre strenuamente contro le autorità inglesi e il loro Libro Bianco che fissava il tetto dell’immigrazione ebraica. “Aiuteremo i britannici nella guerra contro la Germania nazista come se non ci fosse il Libro Bianco e lotteremo contro il Libro Bianco come se non ci fosse la guerra”, con queste parole il capo sionista aveva riassunto nel 1944 la sua linea di condotta e si era adoperato per arruolare volontari in una </w:t>
      </w:r>
      <w:r w:rsidRPr="00732109">
        <w:rPr>
          <w:b/>
          <w:bCs/>
        </w:rPr>
        <w:t>Brigata Ebraica</w:t>
      </w:r>
      <w:r w:rsidRPr="00732109">
        <w:t xml:space="preserve"> che operò in Europa con le forze armate alleate. La sua fu una scelta per molti versi obbligata ma, in ogni caso, moralmente giusta e politicamente lungimirante perché, alla fine della guerra, contribuì a collocare Ben Gurion e il suo gruppo </w:t>
      </w:r>
      <w:r w:rsidRPr="00732109">
        <w:rPr>
          <w:b/>
          <w:bCs/>
        </w:rPr>
        <w:t>al fianco dei vincitori</w:t>
      </w:r>
      <w:r w:rsidRPr="00732109">
        <w:t xml:space="preserve">, proprio mentre questi si ponevano il problema di come trattare i superstiti della </w:t>
      </w:r>
      <w:r w:rsidRPr="00732109">
        <w:rPr>
          <w:i/>
          <w:iCs/>
        </w:rPr>
        <w:t>shoah</w:t>
      </w:r>
      <w:r w:rsidRPr="00732109">
        <w:t xml:space="preserve"> che i sionisti chiedevano di poter accogliere in uno Stato indipendente. Gli arabi e in particolare i palestinesi invece, per la responsabilità di alcuni loro dirigenti e per la vittoria del loro nemico storico, l’Inghilterra, si trovarono dalla parte sbagliata. </w:t>
      </w:r>
    </w:p>
    <w:p w14:paraId="32118A4B" w14:textId="77777777" w:rsidR="00732109" w:rsidRPr="00732109" w:rsidRDefault="00732109" w:rsidP="00732109">
      <w:r w:rsidRPr="00732109">
        <w:t>Quel che successe dopo la Seconda guerra mondiale in Palestina è noto: lo scontro fra sionisti e arabi riprese violento e con non minore intensità si rianimò la lotta di entrambi contro le autorità britanniche che, alla fine, decisero che sarebbe stato più saggio ritirarsi e rinunciarono al mandato. L’Onu si pronunciò allora per la</w:t>
      </w:r>
      <w:r w:rsidRPr="00732109">
        <w:rPr>
          <w:b/>
          <w:bCs/>
        </w:rPr>
        <w:t xml:space="preserve"> spartizione del territorio</w:t>
      </w:r>
      <w:r w:rsidRPr="00732109">
        <w:t xml:space="preserve">, gli arabi la rifiutarono e nel 1948, alla proclamazione dello Stato di Israele (14 maggio) seguì la guerra che si concluse con la sconfitta araba. Per i palestinesi fu la </w:t>
      </w:r>
      <w:r w:rsidRPr="00732109">
        <w:rPr>
          <w:b/>
          <w:bCs/>
          <w:i/>
          <w:iCs/>
        </w:rPr>
        <w:t>nakbah.</w:t>
      </w:r>
    </w:p>
    <w:p w14:paraId="65F32F31" w14:textId="77777777" w:rsidR="00732109" w:rsidRPr="00732109" w:rsidRDefault="00732109" w:rsidP="00732109"/>
    <w:p w14:paraId="3D6663BC" w14:textId="77777777" w:rsidR="00732109" w:rsidRPr="00732109" w:rsidRDefault="00732109" w:rsidP="00732109">
      <w:pPr>
        <w:rPr>
          <w:b/>
          <w:bCs/>
        </w:rPr>
      </w:pPr>
      <w:r w:rsidRPr="00732109">
        <w:rPr>
          <w:b/>
          <w:bCs/>
        </w:rPr>
        <w:t xml:space="preserve">La </w:t>
      </w:r>
      <w:r w:rsidRPr="00732109">
        <w:rPr>
          <w:b/>
          <w:bCs/>
          <w:i/>
          <w:iCs/>
        </w:rPr>
        <w:t>nakbah</w:t>
      </w:r>
      <w:r w:rsidRPr="00732109">
        <w:rPr>
          <w:b/>
          <w:bCs/>
        </w:rPr>
        <w:t xml:space="preserve">, la catastrofe palestinese </w:t>
      </w:r>
    </w:p>
    <w:p w14:paraId="1C0D0395" w14:textId="77777777" w:rsidR="00732109" w:rsidRPr="00732109" w:rsidRDefault="00732109" w:rsidP="00732109">
      <w:r w:rsidRPr="00732109">
        <w:rPr>
          <w:i/>
          <w:iCs/>
        </w:rPr>
        <w:t>Nakbah</w:t>
      </w:r>
      <w:r w:rsidRPr="00732109">
        <w:t xml:space="preserve">, catastrofe, è il termine arabo con cui la popolazione della Palestina indica ciò che accadde in quel territorio quasi sessantacinque anni fa quando, in seguito alla vittoria militare israeliana, oltre settecentomila persone dovettero abbandonare per sempre le loro case. Le responsabilità politiche di quel fatto sono tutt’ora oggetto di una discussione che investe le cause dell’infinita questione israeliano-palestinese e i modi di una sua possibile soluzione. Ma non dovrebbe esserci bisogno di aspettare che questa disputa si risolva per riconoscere la sofferenza di tante persone, di ogni genere ed età, che vennero allora </w:t>
      </w:r>
      <w:r w:rsidRPr="00732109">
        <w:rPr>
          <w:b/>
          <w:bCs/>
        </w:rPr>
        <w:t>sradicate dalla propria terra</w:t>
      </w:r>
      <w:r w:rsidRPr="00732109">
        <w:t xml:space="preserve"> e che, dopo tre generazioni, continuano a vivere nella condizione di </w:t>
      </w:r>
      <w:r w:rsidRPr="00732109">
        <w:rPr>
          <w:b/>
          <w:bCs/>
        </w:rPr>
        <w:t>profughi</w:t>
      </w:r>
      <w:r w:rsidRPr="00732109">
        <w:t xml:space="preserve">. E invece sulla </w:t>
      </w:r>
      <w:r w:rsidRPr="00732109">
        <w:rPr>
          <w:i/>
          <w:iCs/>
        </w:rPr>
        <w:t>nakbah</w:t>
      </w:r>
      <w:r w:rsidRPr="00732109">
        <w:t xml:space="preserve"> e sulla legittimità stessa di fare uso di quella parola (accusata di aver strumentalmente plagiato il suo corrispettivo ebraico </w:t>
      </w:r>
      <w:r w:rsidRPr="00732109">
        <w:rPr>
          <w:i/>
          <w:iCs/>
        </w:rPr>
        <w:t>shoah</w:t>
      </w:r>
      <w:r w:rsidRPr="00732109">
        <w:t xml:space="preserve">) è sorto un nuovo fronte del conflitto arabo-israeliano. I palestinesi sono stati accusati di ingigantire strumentalmente le loro sofferenze per farne un’arma polemica e propagandistica contro Israele mentre gli abitanti di quel paese vengono giudicati incapaci di riconoscere che anche altri, oltre che loro stessi, possano vivere la condizione di vittime. Così fra le due parti in conflitto si è aperto </w:t>
      </w:r>
      <w:r w:rsidRPr="00732109">
        <w:rPr>
          <w:b/>
          <w:bCs/>
        </w:rPr>
        <w:t>un nuovo tipo di guerra: quella delle narrazioni</w:t>
      </w:r>
      <w:r w:rsidRPr="00732109">
        <w:t xml:space="preserve">. Da una parte, gli israeliani celebrano la vittoria del 1948, con cui hanno conquistato il diritto di vivere indipendente nel loro Stato e di accogliere nei suoi confini gli ebrei superstiti della </w:t>
      </w:r>
      <w:r w:rsidRPr="00732109">
        <w:rPr>
          <w:i/>
          <w:iCs/>
        </w:rPr>
        <w:t>shoah</w:t>
      </w:r>
      <w:r w:rsidRPr="00732109">
        <w:t xml:space="preserve">, l’unica vera, grande e incomparabile catastrofe di cui la vittima è stata il popolo ebraico. In questa narrazione </w:t>
      </w:r>
      <w:r w:rsidRPr="00732109">
        <w:rPr>
          <w:b/>
          <w:bCs/>
        </w:rPr>
        <w:t>i profughi palestinesi</w:t>
      </w:r>
      <w:r w:rsidRPr="00732109">
        <w:t xml:space="preserve"> non hanno altro spazio se non quello di chi ha subito le conseguenze delle colpevoli scelte dei propri dirigenti: non c’è alcuna </w:t>
      </w:r>
      <w:r w:rsidRPr="00732109">
        <w:rPr>
          <w:i/>
          <w:iCs/>
        </w:rPr>
        <w:t>nakbah</w:t>
      </w:r>
      <w:r w:rsidRPr="00732109">
        <w:t xml:space="preserve"> da commemorare ma, se mai, </w:t>
      </w:r>
      <w:r w:rsidRPr="00732109">
        <w:rPr>
          <w:b/>
          <w:bCs/>
        </w:rPr>
        <w:t>una meritata sconfitta</w:t>
      </w:r>
      <w:r w:rsidRPr="00732109">
        <w:t xml:space="preserve"> di cui rammaricarsi. Dall’altra parte, sono i palestinesi ad accusare i loro avversari di usare il ricordo delle persecuzioni naziste, di cui gli arabi sono del tutto incolpevoli, come un’arma contro di loro. “Voi siete gelosi di chiunque altro il mondo riconosca come vittima. Questa condizione è un monopolio israeliano</w:t>
      </w:r>
      <w:r w:rsidRPr="00732109">
        <w:rPr>
          <w:i/>
          <w:iCs/>
        </w:rPr>
        <w:t>”</w:t>
      </w:r>
      <w:r w:rsidRPr="00732109">
        <w:t xml:space="preserve">, così </w:t>
      </w:r>
      <w:r w:rsidRPr="00732109">
        <w:rPr>
          <w:b/>
          <w:bCs/>
        </w:rPr>
        <w:t>Mahmoud Darwish</w:t>
      </w:r>
      <w:r w:rsidRPr="00732109">
        <w:t xml:space="preserve">, poeta palestinese, disse alla poetessa israeliana Helit Yeshurun in una conversazione che si volse nel 1996, quando il processo di pace sembrava ancora possibile. Poi venne il fallimento di </w:t>
      </w:r>
      <w:r w:rsidRPr="00732109">
        <w:rPr>
          <w:b/>
          <w:bCs/>
          <w:color w:val="FF0000"/>
        </w:rPr>
        <w:t>Camp David 2000</w:t>
      </w:r>
      <w:r w:rsidRPr="00732109">
        <w:t>, la fine degli accordi di Oslo e la riapertura di uno scontro che continua alternando periodi di tranquillità apparente e improvvise fiammate di violenza.</w:t>
      </w:r>
    </w:p>
    <w:p w14:paraId="3A4F2E44" w14:textId="77777777" w:rsidR="00732109" w:rsidRPr="00732109" w:rsidRDefault="00732109" w:rsidP="00732109"/>
    <w:p w14:paraId="0AAEB6F4" w14:textId="77777777" w:rsidR="00732109" w:rsidRPr="00732109" w:rsidRDefault="00732109" w:rsidP="00732109">
      <w:pPr>
        <w:rPr>
          <w:b/>
          <w:bCs/>
        </w:rPr>
      </w:pPr>
      <w:r w:rsidRPr="00732109">
        <w:rPr>
          <w:b/>
          <w:bCs/>
        </w:rPr>
        <w:t>La guerra delle narrazioni</w:t>
      </w:r>
    </w:p>
    <w:p w14:paraId="6BAD76B8" w14:textId="77777777" w:rsidR="00732109" w:rsidRPr="00732109" w:rsidRDefault="00732109" w:rsidP="00732109">
      <w:r w:rsidRPr="00732109">
        <w:t xml:space="preserve">In questo quadro negare verità agli eventi che fondano la memoria dell’avversario è l’esercizio a cui si dedica di preferenza chi sembra avere interesse ad alzare il tono dello scontro. Il presidente iraniano </w:t>
      </w:r>
      <w:r w:rsidRPr="00732109">
        <w:rPr>
          <w:b/>
          <w:bCs/>
        </w:rPr>
        <w:t>Ahmadinejad</w:t>
      </w:r>
      <w:r w:rsidRPr="00732109">
        <w:t xml:space="preserve">, che come tutti i leader estremisti del campo musulmano usa volentieri la causa palestinese per cercare consenso fra i suoi e dirottare all’esterno le tensioni politiche del suo paese, dichiara abitualmente che lo sterminio degli ebrei in Europa non è altro che </w:t>
      </w:r>
      <w:r w:rsidRPr="00732109">
        <w:rPr>
          <w:b/>
          <w:bCs/>
        </w:rPr>
        <w:t>un mito</w:t>
      </w:r>
      <w:r w:rsidRPr="00732109">
        <w:t xml:space="preserve"> che gli israeliani usano per nascondere i loro crimini. Il presidente iraniano sa bene che tanto più violento è il suo attacco alla memoria della </w:t>
      </w:r>
      <w:r w:rsidRPr="00732109">
        <w:rPr>
          <w:i/>
          <w:iCs/>
        </w:rPr>
        <w:t>shoah</w:t>
      </w:r>
      <w:r w:rsidRPr="00732109">
        <w:t xml:space="preserve">, tanto più ampio sarà il rilievo che gli daranno i media internazionali. Grazie a questa pubblicità spera di conquistare il favore di una opinione pubblica largamente ostile a Israele sia in Iran sia negli altri paesi musulmani. Ma è una tattica ormai logora, come si è visto dallo scarso seguito che queste posizioni hanno trovato nei movimenti della </w:t>
      </w:r>
      <w:r w:rsidRPr="00732109">
        <w:rPr>
          <w:b/>
          <w:bCs/>
        </w:rPr>
        <w:t>primavera araba</w:t>
      </w:r>
      <w:r w:rsidRPr="00732109">
        <w:t xml:space="preserve"> ‘, dove pure non mancava la presenza di frange islamiste radicali.</w:t>
      </w:r>
    </w:p>
    <w:p w14:paraId="78B06701" w14:textId="77777777" w:rsidR="00732109" w:rsidRPr="00732109" w:rsidRDefault="00732109" w:rsidP="00732109">
      <w:r w:rsidRPr="00732109">
        <w:t xml:space="preserve">La </w:t>
      </w:r>
      <w:r w:rsidRPr="00732109">
        <w:rPr>
          <w:b/>
          <w:bCs/>
        </w:rPr>
        <w:t>guerra delle narrazioni</w:t>
      </w:r>
      <w:r w:rsidRPr="00732109">
        <w:t xml:space="preserve">, ovvero la guerra alla narrazione dell’avversario, va avanti anche sul versante opposto con iniziative come quella del ministero israeliano dell’istruzione che nel 2009 ha ordinato di </w:t>
      </w:r>
      <w:r w:rsidRPr="00732109">
        <w:rPr>
          <w:b/>
          <w:bCs/>
        </w:rPr>
        <w:t xml:space="preserve">rimuovere la parola </w:t>
      </w:r>
      <w:r w:rsidRPr="00732109">
        <w:rPr>
          <w:b/>
          <w:bCs/>
          <w:i/>
          <w:iCs/>
        </w:rPr>
        <w:t>nakbah</w:t>
      </w:r>
      <w:r w:rsidRPr="00732109">
        <w:rPr>
          <w:b/>
          <w:bCs/>
        </w:rPr>
        <w:t xml:space="preserve"> dai libri di testo</w:t>
      </w:r>
      <w:r w:rsidRPr="00732109">
        <w:t xml:space="preserve"> in uso nelle scuole frequentate dagli arabi perché adottare quel nome, secondo quanto dichiarato dal presidente </w:t>
      </w:r>
      <w:r w:rsidRPr="00732109">
        <w:rPr>
          <w:b/>
          <w:bCs/>
        </w:rPr>
        <w:t>Netanyahu</w:t>
      </w:r>
      <w:r w:rsidRPr="00732109">
        <w:t>, “equivale a fomentare la propaganda contro Israele</w:t>
      </w:r>
      <w:r w:rsidRPr="00732109">
        <w:rPr>
          <w:i/>
          <w:iCs/>
        </w:rPr>
        <w:t>”</w:t>
      </w:r>
      <w:r w:rsidRPr="00732109">
        <w:t xml:space="preserve">. In un’altra occasione, il ministro Uzi Landau, appartenente al partito di Lieberman, ha rincarato la dose dicendo che “bisogna rifiutare un giorno dedicato al ricordo della </w:t>
      </w:r>
      <w:r w:rsidRPr="00732109">
        <w:rPr>
          <w:i/>
          <w:iCs/>
        </w:rPr>
        <w:t>nakbah</w:t>
      </w:r>
      <w:r w:rsidRPr="00732109">
        <w:t xml:space="preserve"> come un atto di terrorismo che invoca la distruzione dello Stato di Israele</w:t>
      </w:r>
      <w:r w:rsidRPr="00732109">
        <w:rPr>
          <w:i/>
          <w:iCs/>
        </w:rPr>
        <w:t>”</w:t>
      </w:r>
      <w:r w:rsidRPr="00732109">
        <w:t xml:space="preserve"> (“The Jerusalem Post”, 15 maggio 2011).</w:t>
      </w:r>
    </w:p>
    <w:p w14:paraId="226C7C70" w14:textId="77777777" w:rsidR="00732109" w:rsidRPr="00732109" w:rsidRDefault="00732109" w:rsidP="00732109"/>
    <w:p w14:paraId="36EE9DE5" w14:textId="77777777" w:rsidR="00732109" w:rsidRPr="00732109" w:rsidRDefault="00732109" w:rsidP="00732109">
      <w:pPr>
        <w:rPr>
          <w:b/>
          <w:bCs/>
        </w:rPr>
      </w:pPr>
      <w:r w:rsidRPr="00732109">
        <w:rPr>
          <w:b/>
          <w:bCs/>
        </w:rPr>
        <w:t>Riconoscere il dolore dell’altro</w:t>
      </w:r>
    </w:p>
    <w:p w14:paraId="7B2C1F6C" w14:textId="77777777" w:rsidR="00732109" w:rsidRPr="00732109" w:rsidRDefault="00732109" w:rsidP="00732109">
      <w:r w:rsidRPr="00732109">
        <w:t xml:space="preserve">Fortunatamente il dibattito pubblico su questi temi non è controllato soltanto da leader politici estremisti e molti si dimostrano consapevoli che le possibilità di una convivenza pacifica si basano sulla capacità di ascoltare le ragioni dell’altro. Non è rimasta isolata la posizione di </w:t>
      </w:r>
      <w:r w:rsidRPr="00732109">
        <w:rPr>
          <w:b/>
          <w:bCs/>
        </w:rPr>
        <w:t>Edward Said</w:t>
      </w:r>
      <w:r w:rsidRPr="00732109">
        <w:t xml:space="preserve"> che nel 1998 scriveva: “Perché ci aspettiamo che il mondo presti fede alle nostre sofferenze di arabi se non siamo in grado di riconoscere le sofferenze degli altri, anche quando si tratta dei nostri oppressori, e se non siamo capaci di affrontare i fatti che invalidano le idee semplicistiche diffuse dagli intellettuali benpensanti che rifiutano di vedere la relazione tra Olocausto e Israele?</w:t>
      </w:r>
      <w:r w:rsidRPr="00732109">
        <w:rPr>
          <w:i/>
          <w:iCs/>
        </w:rPr>
        <w:t>”</w:t>
      </w:r>
      <w:r w:rsidRPr="00732109">
        <w:t xml:space="preserve"> (in </w:t>
      </w:r>
      <w:r w:rsidRPr="00732109">
        <w:rPr>
          <w:i/>
          <w:iCs/>
        </w:rPr>
        <w:t>Fine del processo di pace. Palestina/Israele dopo Oslo</w:t>
      </w:r>
      <w:r w:rsidRPr="00732109">
        <w:t xml:space="preserve">, Feltrinelli, Milano 2002). </w:t>
      </w:r>
    </w:p>
    <w:p w14:paraId="66BE6C24" w14:textId="77777777" w:rsidR="00732109" w:rsidRDefault="00732109" w:rsidP="00732109">
      <w:r w:rsidRPr="00732109">
        <w:t>Fra quelli che si stanno muovendo in questa direzione ricordiamo due gruppi che operano su versanti simmetrici: uno è quello che ha dato vita al “</w:t>
      </w:r>
      <w:r w:rsidRPr="00732109">
        <w:rPr>
          <w:b/>
          <w:bCs/>
        </w:rPr>
        <w:t>Progetto Aladino</w:t>
      </w:r>
      <w:r w:rsidRPr="00732109">
        <w:t>” (</w:t>
      </w:r>
      <w:hyperlink r:id="rId7" w:history="1">
        <w:r w:rsidRPr="00732109">
          <w:rPr>
            <w:rStyle w:val="Collegamentoipertestuale"/>
          </w:rPr>
          <w:t>http://www.projetaladin.org/en/home.html</w:t>
        </w:r>
      </w:hyperlink>
      <w:r w:rsidRPr="00732109">
        <w:t xml:space="preserve">), una organizzazione non governativa, con base in Francia, che si propone di rendere gli arabi e i musulmani più familiari con la storia della </w:t>
      </w:r>
      <w:r w:rsidRPr="00732109">
        <w:rPr>
          <w:i/>
          <w:iCs/>
        </w:rPr>
        <w:t>shoah</w:t>
      </w:r>
      <w:r w:rsidRPr="00732109">
        <w:t>; l’altro è l’israeliano “</w:t>
      </w:r>
      <w:r w:rsidRPr="00732109">
        <w:rPr>
          <w:b/>
          <w:bCs/>
        </w:rPr>
        <w:t>Zochrot</w:t>
      </w:r>
      <w:r w:rsidRPr="00732109">
        <w:t>” (</w:t>
      </w:r>
      <w:hyperlink r:id="rId8" w:history="1">
        <w:r w:rsidRPr="00732109">
          <w:rPr>
            <w:rStyle w:val="Collegamentoipertestuale"/>
          </w:rPr>
          <w:t>http://www.nakbahinhebrew.org/en</w:t>
        </w:r>
      </w:hyperlink>
      <w:r w:rsidRPr="00732109">
        <w:t xml:space="preserve">) che “cerca di promuovere la consapevolezza della </w:t>
      </w:r>
      <w:r w:rsidRPr="00732109">
        <w:rPr>
          <w:i/>
          <w:iCs/>
        </w:rPr>
        <w:t>Nakbah</w:t>
      </w:r>
      <w:r w:rsidRPr="00732109">
        <w:t xml:space="preserve"> palestinese, specialmente in mezzzo agli ebrei di Israele, che recano una speciale responsabilità nel ricordare e correggere l’eredità del 1948</w:t>
      </w:r>
      <w:r w:rsidRPr="00732109">
        <w:rPr>
          <w:i/>
          <w:iCs/>
        </w:rPr>
        <w:t>”</w:t>
      </w:r>
      <w:r w:rsidRPr="00732109">
        <w:t>. Quello che entrambi questi gruppi si sono assegnati è un compito difficile ma necessario nella prospettiva di una soluzione pacifica del conflitto israeliano-palestinese. Nessun accordo infatti è possibile senza un riconoscimento reciproco e questo non può avvenire se non c’è la disponibilità ad accettare, tutta intera, la storia dell’altro. Per quanto scomoda possa apparire.</w:t>
      </w:r>
    </w:p>
    <w:p w14:paraId="32478F4C" w14:textId="77777777" w:rsidR="00732109" w:rsidRDefault="00732109" w:rsidP="00732109"/>
    <w:p w14:paraId="7E5137DD" w14:textId="77777777" w:rsidR="00732109" w:rsidRPr="00CC3CDF" w:rsidRDefault="00732109" w:rsidP="00732109">
      <w:pPr>
        <w:rPr>
          <w:b/>
          <w:bCs/>
          <w:color w:val="FF0000"/>
        </w:rPr>
      </w:pPr>
      <w:r w:rsidRPr="00CC3CDF">
        <w:rPr>
          <w:b/>
          <w:bCs/>
          <w:color w:val="FF0000"/>
        </w:rPr>
        <w:t xml:space="preserve">Sunniti/sciiti </w:t>
      </w:r>
    </w:p>
    <w:p w14:paraId="0CD910A6" w14:textId="77777777" w:rsidR="00732109" w:rsidRPr="00732109" w:rsidRDefault="00732109" w:rsidP="00732109">
      <w:r w:rsidRPr="00732109">
        <w:t xml:space="preserve">Da </w:t>
      </w:r>
      <w:r w:rsidRPr="00732109">
        <w:rPr>
          <w:i/>
          <w:iCs/>
        </w:rPr>
        <w:t>sunnah</w:t>
      </w:r>
      <w:r w:rsidRPr="00732109">
        <w:t xml:space="preserve"> che significa “tradizione”, si dicono sunniti i seguaci della corrente di maggioranza dell’Islam, mentre sciiti, da </w:t>
      </w:r>
      <w:r w:rsidRPr="00732109">
        <w:rPr>
          <w:i/>
          <w:iCs/>
        </w:rPr>
        <w:t>shì’a</w:t>
      </w:r>
      <w:r w:rsidRPr="00732109">
        <w:t xml:space="preserve"> che in arabo significa “fazione, partito”, sono chiamati coloro che, nelle lotte per la successione seguite alla morte di Maometto, appoggiarono ‘Ali, cugino e genero del Profeta, affermando che egli era il più meritevole di essere il capo (imam) della comunità dei fedeli. In una religione che non è strutturata in una chiesa e pertanto non possiede un’autorità universalmente riconosciuta, la distinzione fra sunniti e sciiti ha conservato nel tempo il valore di una distinzione politica e perfino etnica, oltre che il significato di una contesa legata alla fede.</w:t>
      </w:r>
    </w:p>
    <w:p w14:paraId="7E60716A" w14:textId="77777777" w:rsidR="00732109" w:rsidRDefault="00732109" w:rsidP="00732109"/>
    <w:p w14:paraId="54EBE9CA" w14:textId="77777777" w:rsidR="00732109" w:rsidRDefault="00732109" w:rsidP="00732109"/>
    <w:p w14:paraId="7974D501" w14:textId="77777777" w:rsidR="00732109" w:rsidRPr="00CC3CDF" w:rsidRDefault="00732109" w:rsidP="00732109">
      <w:pPr>
        <w:rPr>
          <w:b/>
          <w:bCs/>
          <w:color w:val="FF0000"/>
        </w:rPr>
      </w:pPr>
      <w:r w:rsidRPr="00CC3CDF">
        <w:rPr>
          <w:b/>
          <w:bCs/>
          <w:color w:val="FF0000"/>
        </w:rPr>
        <w:t xml:space="preserve">Battaglia di El Alamein </w:t>
      </w:r>
    </w:p>
    <w:p w14:paraId="121C736A" w14:textId="77777777" w:rsidR="00732109" w:rsidRPr="00732109" w:rsidRDefault="00732109" w:rsidP="00732109">
      <w:r w:rsidRPr="00732109">
        <w:t>Combattuta fra il luglio e il novembre del 1942, la battaglia di El Alamein segnò lo scontro decisivo fra le forze armate tedesche e italiane e quelle britanniche per il controllo dell’Africa settentrionale durante la Seconda guerra mondiale. La sconfitta degli italo-tedeschi, guidati dal generale Erwin Rommel, allontanò la loro pressione sul canale di Suez e sui territori petroliferi del Medio Oriente e, attraverso il controllo inglese della sponda meridionale del Mediterraneo, favorì l’apertura di un secondo fronte con lo sbarco alleato in Sicilia nel luglio del 1943.</w:t>
      </w:r>
    </w:p>
    <w:p w14:paraId="68845A49" w14:textId="77777777" w:rsidR="00732109" w:rsidRDefault="00732109" w:rsidP="00732109"/>
    <w:p w14:paraId="388885E0" w14:textId="77777777" w:rsidR="00732109" w:rsidRPr="00CC3CDF" w:rsidRDefault="00732109" w:rsidP="00732109">
      <w:pPr>
        <w:rPr>
          <w:b/>
          <w:bCs/>
          <w:color w:val="FF0000"/>
        </w:rPr>
      </w:pPr>
      <w:r w:rsidRPr="00CC3CDF">
        <w:rPr>
          <w:b/>
          <w:bCs/>
          <w:color w:val="FF0000"/>
        </w:rPr>
        <w:t xml:space="preserve">Camp David 2000 </w:t>
      </w:r>
    </w:p>
    <w:p w14:paraId="6884B6AB" w14:textId="77777777" w:rsidR="00732109" w:rsidRDefault="00732109" w:rsidP="00732109">
      <w:r w:rsidRPr="00732109">
        <w:t>Nel luglio del 2000, Camp David nel Maryland, residenza estiva del presidente degli Stati Uniti Bill Clinton, ospitò un incontro fra quest’ultimo, Ehud Barak, primo ministro israeliano, e Yasser Arafat, presidente dell’Autorità Nazionale Palestinese. L’incontro, che avrebbe dovuto portare a un definitivo accordo di pace in Medio Oriente, secondo il percorso iniziato sette anni prima a Oslo, si concluse con un fallimento a causa dell’indecisione di Arafat, timoroso di prendere iniziative che avrebbero suscitato contrasti nel mondo musulmano, dell’inaffidabilità di Barak, che non era stato capace di bloccare gli insediamenti ebraici illegali nei territori occupati della Palestina, e della debolezza di Clinton, che era ormai alla fine del suo secondo mandato. Un anno dopo gli attentati dell’11 settembre e la risposta militare decisa dal nuovo presidente americano George W. Bush, misero definitivamente fine al processo di pace.</w:t>
      </w:r>
    </w:p>
    <w:p w14:paraId="4660A539" w14:textId="77777777" w:rsidR="00732109" w:rsidRDefault="00732109" w:rsidP="00732109"/>
    <w:p w14:paraId="04AF5327" w14:textId="77777777" w:rsidR="00732109" w:rsidRPr="00CC3CDF" w:rsidRDefault="00732109" w:rsidP="00732109">
      <w:pPr>
        <w:rPr>
          <w:b/>
          <w:bCs/>
          <w:color w:val="FF0000"/>
        </w:rPr>
      </w:pPr>
      <w:bookmarkStart w:id="0" w:name="_GoBack"/>
      <w:r w:rsidRPr="00CC3CDF">
        <w:rPr>
          <w:b/>
          <w:bCs/>
          <w:color w:val="FF0000"/>
        </w:rPr>
        <w:t xml:space="preserve">Primavera araba </w:t>
      </w:r>
    </w:p>
    <w:bookmarkEnd w:id="0"/>
    <w:p w14:paraId="5515B1AB" w14:textId="77777777" w:rsidR="00732109" w:rsidRPr="00732109" w:rsidRDefault="00732109" w:rsidP="00732109">
      <w:r w:rsidRPr="00732109">
        <w:t>I mezzi di comunicazione occidentali definiscono così il movimento di protesta che ha preso le mosse dalla Tunisia nell’inverno 2010/2011 e ha successivamente investito molti paesi arabi del Nord Africa e del Medio Oriente, portando alla caduta dei regimi che governavano la Tunisia, la Libia e l’Egitto. Mentre in questi paesi, fra contrasti e difficoltà di vario genere, si sta cercando di definire un nuovo quadro politico, in Siria, dove la primavera araba ha assunto presto il carattere di una violenta guerra civile, questa si trascina tutt’ora, con grande sofferenza della popolazione.</w:t>
      </w:r>
    </w:p>
    <w:p w14:paraId="3C4DD74C" w14:textId="77777777" w:rsidR="00732109" w:rsidRPr="00732109" w:rsidRDefault="00732109" w:rsidP="00732109"/>
    <w:p w14:paraId="114940D9" w14:textId="77777777" w:rsidR="00732109" w:rsidRPr="00732109" w:rsidRDefault="00732109" w:rsidP="00732109"/>
    <w:p w14:paraId="42498E30" w14:textId="77777777" w:rsidR="00732109" w:rsidRDefault="00732109">
      <w:pPr>
        <w:rPr>
          <w:b/>
          <w:bCs/>
        </w:rPr>
      </w:pPr>
      <w:r>
        <w:rPr>
          <w:b/>
          <w:bCs/>
        </w:rPr>
        <w:br w:type="page"/>
      </w:r>
    </w:p>
    <w:p w14:paraId="1AE09A9C" w14:textId="77777777" w:rsidR="00732109" w:rsidRPr="00732109" w:rsidRDefault="00732109" w:rsidP="00732109">
      <w:pPr>
        <w:pBdr>
          <w:top w:val="single" w:sz="4" w:space="1" w:color="auto"/>
          <w:left w:val="single" w:sz="4" w:space="4" w:color="auto"/>
          <w:bottom w:val="single" w:sz="4" w:space="1" w:color="auto"/>
          <w:right w:val="single" w:sz="4" w:space="4" w:color="auto"/>
        </w:pBdr>
        <w:jc w:val="center"/>
      </w:pPr>
      <w:r w:rsidRPr="00732109">
        <w:rPr>
          <w:b/>
          <w:bCs/>
        </w:rPr>
        <w:t xml:space="preserve">Articoli di approfondimento sul sito </w:t>
      </w:r>
      <w:r w:rsidRPr="00732109">
        <w:rPr>
          <w:b/>
          <w:bCs/>
          <w:u w:val="thick"/>
        </w:rPr>
        <w:br/>
      </w:r>
      <w:hyperlink r:id="rId9" w:history="1">
        <w:r w:rsidRPr="00732109">
          <w:rPr>
            <w:rStyle w:val="Collegamentoipertestuale"/>
            <w:b/>
            <w:bCs/>
          </w:rPr>
          <w:t>www.brunomondadoristoria.it</w:t>
        </w:r>
      </w:hyperlink>
    </w:p>
    <w:p w14:paraId="35981DFA" w14:textId="77777777" w:rsidR="00732109" w:rsidRDefault="00732109" w:rsidP="00732109">
      <w:pPr>
        <w:pBdr>
          <w:top w:val="single" w:sz="4" w:space="1" w:color="auto"/>
          <w:left w:val="single" w:sz="4" w:space="4" w:color="auto"/>
          <w:bottom w:val="single" w:sz="4" w:space="1" w:color="auto"/>
          <w:right w:val="single" w:sz="4" w:space="4" w:color="auto"/>
        </w:pBdr>
      </w:pPr>
    </w:p>
    <w:p w14:paraId="27C2C85A" w14:textId="77777777" w:rsidR="00732109" w:rsidRDefault="00732109" w:rsidP="00732109">
      <w:pPr>
        <w:pBdr>
          <w:top w:val="single" w:sz="4" w:space="1" w:color="auto"/>
          <w:left w:val="single" w:sz="4" w:space="4" w:color="auto"/>
          <w:bottom w:val="single" w:sz="4" w:space="1" w:color="auto"/>
          <w:right w:val="single" w:sz="4" w:space="4" w:color="auto"/>
        </w:pBdr>
        <w:rPr>
          <w:u w:val="single"/>
        </w:rPr>
      </w:pPr>
      <w:r w:rsidRPr="00732109">
        <w:t xml:space="preserve">Tariq Ali, </w:t>
      </w:r>
      <w:r w:rsidRPr="00732109">
        <w:rPr>
          <w:b/>
          <w:bCs/>
        </w:rPr>
        <w:t xml:space="preserve">The Arabs and the Holocaust: The Arab-Israeli </w:t>
      </w:r>
      <w:r w:rsidRPr="00732109">
        <w:rPr>
          <w:b/>
          <w:bCs/>
        </w:rPr>
        <w:br/>
        <w:t xml:space="preserve">War of Narratives by Gilbert Achcar </w:t>
      </w:r>
      <w:r w:rsidRPr="00732109">
        <w:t>(2010)</w:t>
      </w:r>
      <w:r w:rsidRPr="00732109">
        <w:br/>
      </w:r>
      <w:hyperlink r:id="rId10" w:history="1">
        <w:r w:rsidRPr="00476161">
          <w:rPr>
            <w:rStyle w:val="Collegamentoipertestuale"/>
          </w:rPr>
          <w:t>http://www.pbmstoria.it/giornali10193</w:t>
        </w:r>
      </w:hyperlink>
    </w:p>
    <w:p w14:paraId="768CF7F0" w14:textId="77777777" w:rsidR="00732109" w:rsidRPr="00732109" w:rsidRDefault="00732109" w:rsidP="00732109">
      <w:pPr>
        <w:pBdr>
          <w:top w:val="single" w:sz="4" w:space="1" w:color="auto"/>
          <w:left w:val="single" w:sz="4" w:space="4" w:color="auto"/>
          <w:bottom w:val="single" w:sz="4" w:space="1" w:color="auto"/>
          <w:right w:val="single" w:sz="4" w:space="4" w:color="auto"/>
        </w:pBdr>
        <w:rPr>
          <w:u w:val="single"/>
        </w:rPr>
      </w:pPr>
    </w:p>
    <w:p w14:paraId="1910AAD3" w14:textId="77777777" w:rsidR="00732109" w:rsidRDefault="00732109" w:rsidP="00732109">
      <w:pPr>
        <w:pBdr>
          <w:top w:val="single" w:sz="4" w:space="1" w:color="auto"/>
          <w:left w:val="single" w:sz="4" w:space="4" w:color="auto"/>
          <w:bottom w:val="single" w:sz="4" w:space="1" w:color="auto"/>
          <w:right w:val="single" w:sz="4" w:space="4" w:color="auto"/>
        </w:pBdr>
        <w:rPr>
          <w:u w:val="single"/>
        </w:rPr>
      </w:pPr>
      <w:r w:rsidRPr="00732109">
        <w:t xml:space="preserve">Edward Said, </w:t>
      </w:r>
      <w:r w:rsidRPr="00732109">
        <w:rPr>
          <w:b/>
          <w:bCs/>
        </w:rPr>
        <w:t xml:space="preserve">Riconoscere l’integrità dell’altrui esperienza </w:t>
      </w:r>
      <w:r w:rsidRPr="00732109">
        <w:t xml:space="preserve">(2002) </w:t>
      </w:r>
      <w:r w:rsidRPr="00732109">
        <w:br/>
      </w:r>
      <w:hyperlink r:id="rId11" w:history="1">
        <w:r w:rsidRPr="00476161">
          <w:rPr>
            <w:rStyle w:val="Collegamentoipertestuale"/>
          </w:rPr>
          <w:t>http://brunomondadoristoria.it/fonti11679</w:t>
        </w:r>
      </w:hyperlink>
    </w:p>
    <w:p w14:paraId="2F762537" w14:textId="77777777" w:rsidR="00732109" w:rsidRPr="00732109" w:rsidRDefault="00732109" w:rsidP="00732109">
      <w:pPr>
        <w:pBdr>
          <w:top w:val="single" w:sz="4" w:space="1" w:color="auto"/>
          <w:left w:val="single" w:sz="4" w:space="4" w:color="auto"/>
          <w:bottom w:val="single" w:sz="4" w:space="1" w:color="auto"/>
          <w:right w:val="single" w:sz="4" w:space="4" w:color="auto"/>
        </w:pBdr>
        <w:rPr>
          <w:u w:val="single"/>
        </w:rPr>
      </w:pPr>
    </w:p>
    <w:p w14:paraId="627E6A2C" w14:textId="77777777" w:rsidR="00732109" w:rsidRDefault="00732109" w:rsidP="00732109">
      <w:pPr>
        <w:pBdr>
          <w:top w:val="single" w:sz="4" w:space="1" w:color="auto"/>
          <w:left w:val="single" w:sz="4" w:space="4" w:color="auto"/>
          <w:bottom w:val="single" w:sz="4" w:space="1" w:color="auto"/>
          <w:right w:val="single" w:sz="4" w:space="4" w:color="auto"/>
        </w:pBdr>
        <w:rPr>
          <w:u w:val="single"/>
        </w:rPr>
      </w:pPr>
      <w:r w:rsidRPr="00732109">
        <w:rPr>
          <w:b/>
          <w:bCs/>
        </w:rPr>
        <w:t>Un appello di intellettuali arabi contro il “negazionismo”</w:t>
      </w:r>
      <w:r w:rsidRPr="00732109">
        <w:t xml:space="preserve"> (2001) </w:t>
      </w:r>
      <w:r w:rsidRPr="00732109">
        <w:br/>
      </w:r>
      <w:hyperlink r:id="rId12" w:history="1">
        <w:r w:rsidRPr="00476161">
          <w:rPr>
            <w:rStyle w:val="Collegamentoipertestuale"/>
          </w:rPr>
          <w:t>http://brunomondadoristoria.it/fonti11681</w:t>
        </w:r>
      </w:hyperlink>
    </w:p>
    <w:p w14:paraId="26BC06DB" w14:textId="77777777" w:rsidR="00732109" w:rsidRPr="00732109" w:rsidRDefault="00732109" w:rsidP="00732109">
      <w:pPr>
        <w:pBdr>
          <w:top w:val="single" w:sz="4" w:space="1" w:color="auto"/>
          <w:left w:val="single" w:sz="4" w:space="4" w:color="auto"/>
          <w:bottom w:val="single" w:sz="4" w:space="1" w:color="auto"/>
          <w:right w:val="single" w:sz="4" w:space="4" w:color="auto"/>
        </w:pBdr>
        <w:rPr>
          <w:u w:val="single"/>
        </w:rPr>
      </w:pPr>
    </w:p>
    <w:p w14:paraId="165FD67A" w14:textId="77777777" w:rsidR="00732109" w:rsidRDefault="00732109" w:rsidP="00732109">
      <w:pPr>
        <w:pBdr>
          <w:top w:val="single" w:sz="4" w:space="1" w:color="auto"/>
          <w:left w:val="single" w:sz="4" w:space="4" w:color="auto"/>
          <w:bottom w:val="single" w:sz="4" w:space="1" w:color="auto"/>
          <w:right w:val="single" w:sz="4" w:space="4" w:color="auto"/>
        </w:pBdr>
        <w:rPr>
          <w:u w:val="single"/>
        </w:rPr>
      </w:pPr>
      <w:r w:rsidRPr="00732109">
        <w:t xml:space="preserve">Robert Fisk, </w:t>
      </w:r>
      <w:r w:rsidRPr="00732109">
        <w:rPr>
          <w:b/>
          <w:bCs/>
        </w:rPr>
        <w:t xml:space="preserve">Il controverso rapporto del mondo arabo con la storia della </w:t>
      </w:r>
      <w:r w:rsidRPr="00732109">
        <w:rPr>
          <w:b/>
          <w:bCs/>
          <w:i/>
          <w:iCs/>
        </w:rPr>
        <w:t>shoah</w:t>
      </w:r>
      <w:r w:rsidRPr="00732109">
        <w:t xml:space="preserve"> (1996) </w:t>
      </w:r>
      <w:r w:rsidRPr="00732109">
        <w:br/>
      </w:r>
      <w:hyperlink r:id="rId13" w:history="1">
        <w:r w:rsidRPr="00476161">
          <w:rPr>
            <w:rStyle w:val="Collegamentoipertestuale"/>
          </w:rPr>
          <w:t>http://brunomondadoristoria.it/fonti11682</w:t>
        </w:r>
      </w:hyperlink>
    </w:p>
    <w:p w14:paraId="75B3D4C4" w14:textId="77777777" w:rsidR="00732109" w:rsidRPr="00732109" w:rsidRDefault="00732109" w:rsidP="00732109">
      <w:pPr>
        <w:rPr>
          <w:u w:val="single"/>
        </w:rPr>
      </w:pPr>
    </w:p>
    <w:p w14:paraId="0EF66A3A" w14:textId="77777777" w:rsidR="00732109" w:rsidRDefault="00732109" w:rsidP="00732109"/>
    <w:sectPr w:rsidR="00732109" w:rsidSect="000C1D7B">
      <w:footerReference w:type="even" r:id="rId14"/>
      <w:footerReference w:type="default" r:id="rId15"/>
      <w:pgSz w:w="12240" w:h="15840"/>
      <w:pgMar w:top="720" w:right="720" w:bottom="720" w:left="720" w:header="720" w:footer="720" w:gutter="0"/>
      <w:cols w:space="720"/>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C1D382" w14:textId="77777777" w:rsidR="00732109" w:rsidRDefault="00732109" w:rsidP="00732109">
      <w:r>
        <w:separator/>
      </w:r>
    </w:p>
  </w:endnote>
  <w:endnote w:type="continuationSeparator" w:id="0">
    <w:p w14:paraId="1D8F6540" w14:textId="77777777" w:rsidR="00732109" w:rsidRDefault="00732109" w:rsidP="00732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C61951" w14:textId="77777777" w:rsidR="00732109" w:rsidRDefault="00732109" w:rsidP="0047616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74C60500" w14:textId="77777777" w:rsidR="00732109" w:rsidRDefault="00732109" w:rsidP="00732109">
    <w:pPr>
      <w:pStyle w:val="Pidipagina"/>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E1E1B0" w14:textId="77777777" w:rsidR="00732109" w:rsidRDefault="00732109" w:rsidP="0047616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CC3CDF">
      <w:rPr>
        <w:rStyle w:val="Numeropagina"/>
        <w:noProof/>
      </w:rPr>
      <w:t>1</w:t>
    </w:r>
    <w:r>
      <w:rPr>
        <w:rStyle w:val="Numeropagina"/>
      </w:rPr>
      <w:fldChar w:fldCharType="end"/>
    </w:r>
  </w:p>
  <w:p w14:paraId="529C22FC" w14:textId="77777777" w:rsidR="00732109" w:rsidRDefault="00732109" w:rsidP="00732109">
    <w:pPr>
      <w:pStyle w:val="Pidipagina"/>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55F2D6" w14:textId="77777777" w:rsidR="00732109" w:rsidRDefault="00732109" w:rsidP="00732109">
      <w:r>
        <w:separator/>
      </w:r>
    </w:p>
  </w:footnote>
  <w:footnote w:type="continuationSeparator" w:id="0">
    <w:p w14:paraId="760BC2DD" w14:textId="77777777" w:rsidR="00732109" w:rsidRDefault="00732109" w:rsidP="007321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283"/>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2109"/>
    <w:rsid w:val="00732109"/>
    <w:rsid w:val="00A67858"/>
    <w:rsid w:val="00CC3CDF"/>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04F842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atterepredefinitoparagrafo"/>
    <w:uiPriority w:val="99"/>
    <w:unhideWhenUsed/>
    <w:rsid w:val="00732109"/>
    <w:rPr>
      <w:color w:val="0000FF" w:themeColor="hyperlink"/>
      <w:u w:val="single"/>
    </w:rPr>
  </w:style>
  <w:style w:type="paragraph" w:styleId="Pidipagina">
    <w:name w:val="footer"/>
    <w:basedOn w:val="Normale"/>
    <w:link w:val="PidipaginaCarattere"/>
    <w:uiPriority w:val="99"/>
    <w:unhideWhenUsed/>
    <w:rsid w:val="00732109"/>
    <w:pPr>
      <w:tabs>
        <w:tab w:val="center" w:pos="4819"/>
        <w:tab w:val="right" w:pos="9638"/>
      </w:tabs>
    </w:pPr>
  </w:style>
  <w:style w:type="character" w:customStyle="1" w:styleId="PidipaginaCarattere">
    <w:name w:val="Piè di pagina Carattere"/>
    <w:basedOn w:val="Caratterepredefinitoparagrafo"/>
    <w:link w:val="Pidipagina"/>
    <w:uiPriority w:val="99"/>
    <w:rsid w:val="00732109"/>
  </w:style>
  <w:style w:type="character" w:styleId="Numeropagina">
    <w:name w:val="page number"/>
    <w:basedOn w:val="Caratterepredefinitoparagrafo"/>
    <w:uiPriority w:val="99"/>
    <w:semiHidden/>
    <w:unhideWhenUsed/>
    <w:rsid w:val="00732109"/>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atterepredefinitoparagrafo"/>
    <w:uiPriority w:val="99"/>
    <w:unhideWhenUsed/>
    <w:rsid w:val="00732109"/>
    <w:rPr>
      <w:color w:val="0000FF" w:themeColor="hyperlink"/>
      <w:u w:val="single"/>
    </w:rPr>
  </w:style>
  <w:style w:type="paragraph" w:styleId="Pidipagina">
    <w:name w:val="footer"/>
    <w:basedOn w:val="Normale"/>
    <w:link w:val="PidipaginaCarattere"/>
    <w:uiPriority w:val="99"/>
    <w:unhideWhenUsed/>
    <w:rsid w:val="00732109"/>
    <w:pPr>
      <w:tabs>
        <w:tab w:val="center" w:pos="4819"/>
        <w:tab w:val="right" w:pos="9638"/>
      </w:tabs>
    </w:pPr>
  </w:style>
  <w:style w:type="character" w:customStyle="1" w:styleId="PidipaginaCarattere">
    <w:name w:val="Piè di pagina Carattere"/>
    <w:basedOn w:val="Caratterepredefinitoparagrafo"/>
    <w:link w:val="Pidipagina"/>
    <w:uiPriority w:val="99"/>
    <w:rsid w:val="00732109"/>
  </w:style>
  <w:style w:type="character" w:styleId="Numeropagina">
    <w:name w:val="page number"/>
    <w:basedOn w:val="Caratterepredefinitoparagrafo"/>
    <w:uiPriority w:val="99"/>
    <w:semiHidden/>
    <w:unhideWhenUsed/>
    <w:rsid w:val="007321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brunomondadoristoria.it/fonti11679" TargetMode="External"/><Relationship Id="rId12" Type="http://schemas.openxmlformats.org/officeDocument/2006/relationships/hyperlink" Target="http://brunomondadoristoria.it/fonti11681" TargetMode="External"/><Relationship Id="rId13" Type="http://schemas.openxmlformats.org/officeDocument/2006/relationships/hyperlink" Target="http://brunomondadoristoria.it/fonti11682" TargetMode="Externa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projetaladin.org/en/home.html" TargetMode="External"/><Relationship Id="rId8" Type="http://schemas.openxmlformats.org/officeDocument/2006/relationships/hyperlink" Target="http://www.nakbainhebrew.org/en" TargetMode="External"/><Relationship Id="rId9" Type="http://schemas.openxmlformats.org/officeDocument/2006/relationships/hyperlink" Target="http://www.brunomondadoristoria.it" TargetMode="External"/><Relationship Id="rId10" Type="http://schemas.openxmlformats.org/officeDocument/2006/relationships/hyperlink" Target="http://www.pbmstoria.it/giornali10193"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6</Pages>
  <Words>3278</Words>
  <Characters>18689</Characters>
  <Application>Microsoft Macintosh Word</Application>
  <DocSecurity>0</DocSecurity>
  <Lines>155</Lines>
  <Paragraphs>43</Paragraphs>
  <ScaleCrop>false</ScaleCrop>
  <Company/>
  <LinksUpToDate>false</LinksUpToDate>
  <CharactersWithSpaces>21924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Serena Sironi</dc:creator>
  <cp:keywords/>
  <dc:description/>
  <cp:lastModifiedBy>Serena Sironi</cp:lastModifiedBy>
  <cp:revision>2</cp:revision>
  <dcterms:created xsi:type="dcterms:W3CDTF">2013-03-06T08:59:00Z</dcterms:created>
  <dcterms:modified xsi:type="dcterms:W3CDTF">2013-03-06T09:22:00Z</dcterms:modified>
</cp:coreProperties>
</file>