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554" w:rsidRPr="00DA1554" w:rsidRDefault="00DA1554" w:rsidP="00DA1554">
      <w:r w:rsidRPr="00DA1554">
        <w:t>Cecilia Cohen Hemsi Nizza vive a Gerusalemme, dove insegna all’Uni</w:t>
      </w:r>
      <w:r>
        <w:t xml:space="preserve">versità ebraica ed è Assessore </w:t>
      </w:r>
      <w:r w:rsidRPr="00DA1554">
        <w:t xml:space="preserve">alla Cultura nel Consiglio della locale Comunità ebraica italiana. Per Bruno Mondadori ha curato un’edizione commentata e annotata de </w:t>
      </w:r>
      <w:r w:rsidRPr="00DA1554">
        <w:rPr>
          <w:i/>
          <w:iCs/>
        </w:rPr>
        <w:t>La Nuit</w:t>
      </w:r>
      <w:r w:rsidRPr="00DA1554">
        <w:t xml:space="preserve"> di Elie Wiesel, il volume </w:t>
      </w:r>
      <w:r w:rsidRPr="00DA1554">
        <w:rPr>
          <w:i/>
          <w:iCs/>
        </w:rPr>
        <w:t>Testimoni</w:t>
      </w:r>
      <w:r w:rsidRPr="00DA1554">
        <w:t xml:space="preserve">, a partire da brani di </w:t>
      </w:r>
      <w:r w:rsidRPr="00DA1554">
        <w:rPr>
          <w:i/>
          <w:iCs/>
        </w:rPr>
        <w:t>Vita e Destino</w:t>
      </w:r>
      <w:r>
        <w:t xml:space="preserve"> </w:t>
      </w:r>
      <w:r w:rsidRPr="00DA1554">
        <w:t xml:space="preserve">di Vasilij Grossman, e due racconti tratti da </w:t>
      </w:r>
      <w:r w:rsidRPr="00DA1554">
        <w:rPr>
          <w:i/>
          <w:iCs/>
        </w:rPr>
        <w:t xml:space="preserve">Il fumo di Birkenau </w:t>
      </w:r>
      <w:r w:rsidRPr="00DA1554">
        <w:t xml:space="preserve">di Liana Millu. </w:t>
      </w:r>
    </w:p>
    <w:p w:rsidR="00A67858" w:rsidRDefault="00A67858"/>
    <w:p w:rsidR="00DA1554" w:rsidRPr="00DA1554" w:rsidRDefault="00DA1554" w:rsidP="00DA1554">
      <w:pPr>
        <w:rPr>
          <w:b/>
          <w:bCs/>
        </w:rPr>
      </w:pPr>
      <w:r w:rsidRPr="00DA1554">
        <w:rPr>
          <w:b/>
          <w:bCs/>
        </w:rPr>
        <w:t xml:space="preserve">RACCONTARE L’INDICIBILE </w:t>
      </w:r>
    </w:p>
    <w:p w:rsidR="00DA1554" w:rsidRPr="00DA1554" w:rsidRDefault="00DA1554" w:rsidP="00DA1554">
      <w:r w:rsidRPr="00DA1554">
        <w:t xml:space="preserve">Elie Wiesel, </w:t>
      </w:r>
      <w:r w:rsidRPr="00DA1554">
        <w:rPr>
          <w:i/>
          <w:iCs/>
        </w:rPr>
        <w:t>La Notte</w:t>
      </w:r>
    </w:p>
    <w:p w:rsidR="00DA1554" w:rsidRPr="00DA1554" w:rsidRDefault="00DA1554" w:rsidP="00DA1554">
      <w:r w:rsidRPr="00DA1554">
        <w:t xml:space="preserve">Primo Levi, </w:t>
      </w:r>
      <w:r w:rsidRPr="00DA1554">
        <w:rPr>
          <w:i/>
          <w:iCs/>
        </w:rPr>
        <w:t>Se questo è un uomo</w:t>
      </w:r>
    </w:p>
    <w:p w:rsidR="00DA1554" w:rsidRDefault="00DA1554" w:rsidP="00DA1554">
      <w:r w:rsidRPr="00DA1554">
        <w:t>Spunti per un confronto</w:t>
      </w:r>
    </w:p>
    <w:p w:rsidR="00DA1554" w:rsidRDefault="00DA1554" w:rsidP="00DA1554"/>
    <w:p w:rsidR="00DA1554" w:rsidRPr="00DA1554" w:rsidRDefault="00DA1554" w:rsidP="00DA1554">
      <w:pPr>
        <w:rPr>
          <w:i/>
          <w:iCs/>
        </w:rPr>
      </w:pPr>
      <w:r w:rsidRPr="00DA1554">
        <w:rPr>
          <w:i/>
          <w:iCs/>
        </w:rPr>
        <w:t xml:space="preserve">Dal confronto fra queste due opere universalmente note di due autori altrettanto noti, è interessante far emergere, da un lato, similitudini e differenze nelle scelte narrative e, dall’altro, i retroterra culturali e sociali da cui gli autori hanno affrontato la terribile esperienza della deportazione. Notiamo subito che le opere sono state pubblicate, nella versione che conosciamo, nello stesso anno, il 1958, ma entrambi gli autori si erano espressi già prima: Wiesel, nel 1955, in una versione molto più lunga in yiddish, Primo Levi addirittura nel 1947. </w:t>
      </w:r>
    </w:p>
    <w:p w:rsidR="00DA1554" w:rsidRDefault="00DA1554" w:rsidP="00DA1554"/>
    <w:p w:rsidR="00DA1554" w:rsidRPr="00DA1554" w:rsidRDefault="00DA1554" w:rsidP="00DA1554">
      <w:pPr>
        <w:rPr>
          <w:b/>
          <w:bCs/>
        </w:rPr>
      </w:pPr>
      <w:r w:rsidRPr="00DA1554">
        <w:rPr>
          <w:b/>
          <w:bCs/>
        </w:rPr>
        <w:t>I divers</w:t>
      </w:r>
      <w:r>
        <w:rPr>
          <w:b/>
          <w:bCs/>
        </w:rPr>
        <w:t xml:space="preserve">i contesti storici, geografici </w:t>
      </w:r>
      <w:r w:rsidRPr="00DA1554">
        <w:rPr>
          <w:b/>
          <w:bCs/>
        </w:rPr>
        <w:t>e culturali</w:t>
      </w:r>
    </w:p>
    <w:p w:rsidR="00DA1554" w:rsidRPr="00DA1554" w:rsidRDefault="00DA1554" w:rsidP="00DA1554">
      <w:r w:rsidRPr="00DA1554">
        <w:t xml:space="preserve">Per prima cosa è utile definire i </w:t>
      </w:r>
      <w:r w:rsidRPr="00DA1554">
        <w:rPr>
          <w:b/>
          <w:bCs/>
        </w:rPr>
        <w:t>contesti di provenienza dei due autori</w:t>
      </w:r>
      <w:r w:rsidRPr="00DA1554">
        <w:t>, perché ci aiutano a capire il senso della loro testimonianza e illustrano le diverse modalità con cui i nazisti progettarono e attuarono lo sterminio degli ebrei nell’Europa orientale e occidentale.</w:t>
      </w:r>
    </w:p>
    <w:p w:rsidR="00DA1554" w:rsidRPr="00DA1554" w:rsidRDefault="00DA1554" w:rsidP="00DA1554">
      <w:r w:rsidRPr="00DA1554">
        <w:rPr>
          <w:b/>
          <w:bCs/>
        </w:rPr>
        <w:t>Primo Levi</w:t>
      </w:r>
      <w:r w:rsidRPr="00DA1554">
        <w:t>, nato nel 1919 a Torino, è figlio di quelle generazioni che, dopo aver partecipato con ardore al Risorgimento, hanno ottenuto con l’Unità d’Italia l’</w:t>
      </w:r>
      <w:r w:rsidRPr="00DA1554">
        <w:rPr>
          <w:b/>
          <w:bCs/>
        </w:rPr>
        <w:t>emancipazione</w:t>
      </w:r>
      <w:r w:rsidRPr="00DA1554">
        <w:t xml:space="preserve">. Integrati pienamente nella società, dopo l’uscita dai ghetti, gli ebrei italiani ne hanno assimilato, come in genere quelli dell’Europa occidentale, la cultura e i valori laico-liberali e socialisti, a scapito dell’identità ebraica tradizionale, con cui hanno mantenuto un rapporto per così dire sentimentale. Hanno le loro istituzioni (comunità, sinagoghe, centri assistenziali, di studio), ma prevale l’idea di essere </w:t>
      </w:r>
      <w:r w:rsidRPr="00DA1554">
        <w:rPr>
          <w:b/>
          <w:bCs/>
        </w:rPr>
        <w:t>italiani di religione ebraica</w:t>
      </w:r>
      <w:r w:rsidRPr="00DA1554">
        <w:t xml:space="preserve">. Né l’antigiudaismo religioso tradizionale, né la sua versione moderna, anticapitalistica, antimassonica, antilaica, non ancora permeata di razzismo, sembrano costituire un pericolo. </w:t>
      </w:r>
    </w:p>
    <w:p w:rsidR="00DA1554" w:rsidRPr="00DA1554" w:rsidRDefault="00DA1554" w:rsidP="00DA1554">
      <w:r w:rsidRPr="00DA1554">
        <w:t xml:space="preserve">Nella caccia all’ebreo </w:t>
      </w:r>
      <w:r w:rsidRPr="00DA1554">
        <w:rPr>
          <w:b/>
          <w:bCs/>
        </w:rPr>
        <w:t>in occidente</w:t>
      </w:r>
      <w:r w:rsidRPr="00DA1554">
        <w:t xml:space="preserve">, sarà quindi fondamentale per i nazisti la </w:t>
      </w:r>
      <w:r w:rsidRPr="00DA1554">
        <w:rPr>
          <w:b/>
          <w:bCs/>
        </w:rPr>
        <w:t>collaborazione delle autorità locali</w:t>
      </w:r>
      <w:r w:rsidRPr="00DA1554">
        <w:t xml:space="preserve"> che forniranno loro gli elenchi ed eseguiranno esse stesse gli arresti. Dopo l’arresto, i prigionieri verranno concentrati in appositi campi di transito, come Fossoli in Italia, da dove partiranno i convogli diretti ad Auschwitz. </w:t>
      </w:r>
    </w:p>
    <w:p w:rsidR="00DA1554" w:rsidRPr="00DA1554" w:rsidRDefault="00DA1554" w:rsidP="00DA1554">
      <w:r w:rsidRPr="00DA1554">
        <w:t>Diversa la situazione nell’</w:t>
      </w:r>
      <w:r w:rsidRPr="00DA1554">
        <w:rPr>
          <w:b/>
          <w:bCs/>
        </w:rPr>
        <w:t>Europa orientale</w:t>
      </w:r>
      <w:r w:rsidRPr="00DA1554">
        <w:t xml:space="preserve">, dove </w:t>
      </w:r>
      <w:r w:rsidRPr="00DA1554">
        <w:rPr>
          <w:b/>
          <w:bCs/>
        </w:rPr>
        <w:t>Elie Wiesel</w:t>
      </w:r>
      <w:r w:rsidRPr="00DA1554">
        <w:t xml:space="preserve"> nasce nel 1928, precisamente a </w:t>
      </w:r>
      <w:r w:rsidRPr="00DA1554">
        <w:rPr>
          <w:b/>
          <w:bCs/>
        </w:rPr>
        <w:t>Sighet</w:t>
      </w:r>
      <w:r w:rsidRPr="00DA1554">
        <w:t xml:space="preserve">, in Transilvania. Questa regione, posta a nord-ovest della Romania, nel 1940 viene ceduta, su pressione di Hitler e Mussolini, all’Ungheria. Sighet è un tipico borgo (in yiddish </w:t>
      </w:r>
      <w:r w:rsidRPr="00DA1554">
        <w:rPr>
          <w:b/>
          <w:bCs/>
          <w:i/>
          <w:iCs/>
        </w:rPr>
        <w:t>shtetl</w:t>
      </w:r>
      <w:r w:rsidRPr="00DA1554">
        <w:t>), dove gli ebrei vivono in una comunità molto osservante della tradizione. Sebbene con la fine della Prima guerra mondiale – e il conseguente crollo degli imperi – siano nati nuovi stati dotati di costituzioni liberali in grado di garantire i diritti ai propri cittadini, l’</w:t>
      </w:r>
      <w:r w:rsidRPr="00DA1554">
        <w:rPr>
          <w:b/>
          <w:bCs/>
        </w:rPr>
        <w:t>ostilità antiebraica</w:t>
      </w:r>
      <w:r w:rsidRPr="00DA1554">
        <w:t xml:space="preserve"> delle popolazioni persiste, manifestandosi spesso in attacchi fisici violenti (</w:t>
      </w:r>
      <w:r w:rsidRPr="00DA1554">
        <w:rPr>
          <w:b/>
          <w:bCs/>
          <w:i/>
          <w:iCs/>
        </w:rPr>
        <w:t>pogrom</w:t>
      </w:r>
      <w:r w:rsidRPr="00DA1554">
        <w:t xml:space="preserve">). Questo spiega come, rispetto all’occidente, l’integrazione degli ebrei segni il passo e come queste comunità preferiscano vivere isolate, e non solo per conservare la propria identità. Quando perciò i nazisti invadono quei territori, non hanno difficoltà a scovare gli ebrei da massacrare sul posto o da deportare nei campi della morte. Lo </w:t>
      </w:r>
      <w:r w:rsidRPr="00DA1554">
        <w:rPr>
          <w:i/>
          <w:iCs/>
        </w:rPr>
        <w:t>shtetl</w:t>
      </w:r>
      <w:r w:rsidRPr="00DA1554">
        <w:t xml:space="preserve"> di fatto diventa un </w:t>
      </w:r>
      <w:r w:rsidRPr="00DA1554">
        <w:rPr>
          <w:b/>
          <w:bCs/>
        </w:rPr>
        <w:t>ghetto</w:t>
      </w:r>
      <w:r w:rsidRPr="00DA1554">
        <w:t xml:space="preserve">, da cui non è possibile fuggire. Non solo, ma gli occupanti trovano nell’antiebraismo locale un sicuro e fidato alleato. </w:t>
      </w:r>
    </w:p>
    <w:p w:rsidR="00DA1554" w:rsidRPr="00DA1554" w:rsidRDefault="00DA1554" w:rsidP="00DA1554">
      <w:pPr>
        <w:rPr>
          <w:b/>
          <w:bCs/>
        </w:rPr>
      </w:pPr>
    </w:p>
    <w:p w:rsidR="00DA1554" w:rsidRPr="00DA1554" w:rsidRDefault="00DA1554" w:rsidP="00DA1554">
      <w:pPr>
        <w:rPr>
          <w:b/>
          <w:bCs/>
        </w:rPr>
      </w:pPr>
      <w:r w:rsidRPr="00DA1554">
        <w:rPr>
          <w:b/>
          <w:bCs/>
        </w:rPr>
        <w:t xml:space="preserve">Diversi propositi e punti di vista </w:t>
      </w:r>
    </w:p>
    <w:p w:rsidR="00DA1554" w:rsidRPr="00DA1554" w:rsidRDefault="00DA1554" w:rsidP="00DA1554">
      <w:r w:rsidRPr="00DA1554">
        <w:t>Se si confronta la struttura dei due libri, emerge il proposito che gli auto</w:t>
      </w:r>
      <w:r w:rsidRPr="00DA1554">
        <w:rPr>
          <w:b/>
          <w:bCs/>
        </w:rPr>
        <w:t>r</w:t>
      </w:r>
      <w:r w:rsidRPr="00DA1554">
        <w:t xml:space="preserve">i si sono prefissati, proposito che spiega in un certo senso anche il tono usato. </w:t>
      </w:r>
      <w:r w:rsidRPr="00DA1554">
        <w:rPr>
          <w:b/>
          <w:bCs/>
        </w:rPr>
        <w:t>Scopo dichiarato di Primo Levi</w:t>
      </w:r>
      <w:r w:rsidRPr="00DA1554">
        <w:t xml:space="preserve"> non è tanto aggiungere “</w:t>
      </w:r>
      <w:r w:rsidRPr="00DA1554">
        <w:rPr>
          <w:i/>
          <w:iCs/>
        </w:rPr>
        <w:t>in fatto di particolati atroci</w:t>
      </w:r>
      <w:r w:rsidRPr="00DA1554">
        <w:t>” altri particolari a “</w:t>
      </w:r>
      <w:r w:rsidRPr="00DA1554">
        <w:rPr>
          <w:i/>
          <w:iCs/>
        </w:rPr>
        <w:t>quanto è ormai noto ai lettori di tutto il mondo</w:t>
      </w:r>
      <w:r w:rsidRPr="00DA1554">
        <w:t xml:space="preserve">”, ma </w:t>
      </w:r>
      <w:r w:rsidRPr="00DA1554">
        <w:lastRenderedPageBreak/>
        <w:t>“</w:t>
      </w:r>
      <w:r w:rsidRPr="00DA1554">
        <w:rPr>
          <w:i/>
          <w:iCs/>
        </w:rPr>
        <w:t>piuttosto fornire documenti per uno studio pacato di alcuni aspetti dell’animo umano</w:t>
      </w:r>
      <w:r w:rsidRPr="00DA1554">
        <w:t xml:space="preserve">” </w:t>
      </w:r>
      <w:r w:rsidRPr="00DA1554">
        <w:rPr>
          <w:vertAlign w:val="superscript"/>
        </w:rPr>
        <w:footnoteReference w:id="1"/>
      </w:r>
      <w:r w:rsidRPr="00DA1554">
        <w:t xml:space="preserve">, attento specialmente alla degradazione morale e fisica cui i deportati sono condannati, prima ancora di essere eliminati. Il titolo stesso del libro </w:t>
      </w:r>
      <w:r w:rsidRPr="00DA1554">
        <w:rPr>
          <w:i/>
          <w:iCs/>
        </w:rPr>
        <w:t>Se questo è un uomo</w:t>
      </w:r>
      <w:r w:rsidRPr="00DA1554">
        <w:t xml:space="preserve"> ne è la perfetta sintesi poetica. Per questo egli descrive con </w:t>
      </w:r>
      <w:r w:rsidRPr="00DA1554">
        <w:rPr>
          <w:b/>
          <w:bCs/>
        </w:rPr>
        <w:t>precisione quasi documentaristica</w:t>
      </w:r>
      <w:r w:rsidRPr="00DA1554">
        <w:t xml:space="preserve"> le regole che governano il campo, le gerarchie che si sono andate formando tra i prigionieri (gli </w:t>
      </w:r>
      <w:r w:rsidRPr="00DA1554">
        <w:rPr>
          <w:i/>
          <w:iCs/>
        </w:rPr>
        <w:t>haftlinge</w:t>
      </w:r>
      <w:r w:rsidRPr="00DA1554">
        <w:t xml:space="preserve">), i meccanismi che il deportato impara nell’implacabile lotta per la sopravvivenza. </w:t>
      </w:r>
    </w:p>
    <w:p w:rsidR="00DA1554" w:rsidRPr="00DA1554" w:rsidRDefault="00DA1554" w:rsidP="00DA1554">
      <w:r w:rsidRPr="00DA1554">
        <w:t xml:space="preserve">Le stesse cose troviamo in </w:t>
      </w:r>
      <w:r w:rsidRPr="00DA1554">
        <w:rPr>
          <w:b/>
          <w:bCs/>
        </w:rPr>
        <w:t>Wiesel</w:t>
      </w:r>
      <w:r w:rsidRPr="00DA1554">
        <w:t xml:space="preserve">, ma raccontate attraverso il </w:t>
      </w:r>
      <w:r w:rsidRPr="00DA1554">
        <w:rPr>
          <w:b/>
          <w:bCs/>
        </w:rPr>
        <w:t>filtro dell’adolescente</w:t>
      </w:r>
      <w:r w:rsidRPr="00DA1554">
        <w:t xml:space="preserve"> che ha visto e vissuto l’inimmaginabile – riassunto metaforicamente nel titolo </w:t>
      </w:r>
      <w:r w:rsidRPr="00DA1554">
        <w:rPr>
          <w:i/>
          <w:iCs/>
        </w:rPr>
        <w:t>La Notte</w:t>
      </w:r>
      <w:r w:rsidRPr="00DA1554">
        <w:t xml:space="preserve"> – che riemerge ora nell’adulto in tutta la sua brutalità. Ha infatti </w:t>
      </w:r>
      <w:r w:rsidRPr="00DA1554">
        <w:rPr>
          <w:b/>
          <w:bCs/>
        </w:rPr>
        <w:t>12 anni all’inizio del racconto</w:t>
      </w:r>
      <w:r w:rsidRPr="00DA1554">
        <w:t xml:space="preserve">, ne ha 15 quando vede scomparire a Birkenau la madre e le sorelle, 16 quando viene liberato a Buchenwald dagli americani, dopo aver perso anche il padre. Non più un bambino, ma certo non un adulto. </w:t>
      </w:r>
    </w:p>
    <w:p w:rsidR="00DA1554" w:rsidRPr="00DA1554" w:rsidRDefault="00DA1554" w:rsidP="00DA1554">
      <w:r w:rsidRPr="00DA1554">
        <w:t xml:space="preserve">Questa </w:t>
      </w:r>
      <w:r w:rsidRPr="00DA1554">
        <w:rPr>
          <w:b/>
          <w:bCs/>
        </w:rPr>
        <w:t>impostazione soggettiva</w:t>
      </w:r>
      <w:r w:rsidRPr="00DA1554">
        <w:t xml:space="preserve"> si riscontra nel fatto che in Wiesel c’è un “</w:t>
      </w:r>
      <w:r w:rsidRPr="00DA1554">
        <w:rPr>
          <w:b/>
          <w:bCs/>
        </w:rPr>
        <w:t>prima</w:t>
      </w:r>
      <w:r w:rsidRPr="00DA1554">
        <w:t xml:space="preserve">”. Il suo racconto inizia infatti con la descrizione della vita tranquilla di Sighet, della sua famiglia, composta dal padre, dalla madre, dalle sorelle. Come ogni ragazzino della sua età frequenta il </w:t>
      </w:r>
      <w:r w:rsidRPr="00DA1554">
        <w:rPr>
          <w:i/>
          <w:iCs/>
        </w:rPr>
        <w:t>héder</w:t>
      </w:r>
      <w:r w:rsidRPr="00DA1554">
        <w:t xml:space="preserve"> (casa di studio) e studia Talmùd. Volendo accostarsi allo studio della Cabbalà,</w:t>
      </w:r>
      <w:r w:rsidRPr="00DA1554">
        <w:rPr>
          <w:vertAlign w:val="superscript"/>
        </w:rPr>
        <w:footnoteReference w:id="2"/>
      </w:r>
      <w:r w:rsidRPr="00DA1554">
        <w:t xml:space="preserve"> contro il parere del padre –”</w:t>
      </w:r>
      <w:r w:rsidRPr="00DA1554">
        <w:rPr>
          <w:i/>
          <w:iCs/>
        </w:rPr>
        <w:t>sei troppo giovane per queste cose</w:t>
      </w:r>
      <w:r w:rsidRPr="00DA1554">
        <w:t xml:space="preserve">” </w:t>
      </w:r>
      <w:r w:rsidRPr="00DA1554">
        <w:rPr>
          <w:vertAlign w:val="superscript"/>
        </w:rPr>
        <w:footnoteReference w:id="3"/>
      </w:r>
      <w:r w:rsidRPr="00DA1554">
        <w:t xml:space="preserve"> – si sceglie come maestro </w:t>
      </w:r>
      <w:r w:rsidRPr="00DA1554">
        <w:rPr>
          <w:b/>
          <w:bCs/>
        </w:rPr>
        <w:t>Moshé lo Shammàsh</w:t>
      </w:r>
      <w:r w:rsidRPr="00DA1554">
        <w:t>,</w:t>
      </w:r>
      <w:r w:rsidRPr="00DA1554">
        <w:rPr>
          <w:vertAlign w:val="superscript"/>
        </w:rPr>
        <w:footnoteReference w:id="4"/>
      </w:r>
      <w:r w:rsidRPr="00DA1554">
        <w:t xml:space="preserve"> “</w:t>
      </w:r>
      <w:r w:rsidRPr="00DA1554">
        <w:rPr>
          <w:i/>
          <w:iCs/>
        </w:rPr>
        <w:t>il povero straccione di Sighet</w:t>
      </w:r>
      <w:r w:rsidRPr="00DA1554">
        <w:t>”, un personaggio all’apparenza risibile “</w:t>
      </w:r>
      <w:r w:rsidRPr="00DA1554">
        <w:rPr>
          <w:i/>
          <w:iCs/>
        </w:rPr>
        <w:t>fisicamente aveva la goffaggine del clown</w:t>
      </w:r>
      <w:r w:rsidRPr="00DA1554">
        <w:t xml:space="preserve">”, ma di cui ha imparato ad apprezzare la profondità, come spesso solo i bambini sanno intuitivamente fare. Per il momento il suo mondo è tutto lì, in quella ricerca di risposte alle sue esigenze di fede, e sarebbe rimasto tale se non gli fosse crollato addosso. </w:t>
      </w:r>
    </w:p>
    <w:p w:rsidR="00DA1554" w:rsidRPr="00DA1554" w:rsidRDefault="00DA1554" w:rsidP="00DA1554">
      <w:r w:rsidRPr="00DA1554">
        <w:t xml:space="preserve">La tranquillità del borgo non viene scossa dalla presa di potere del partito fascista ungherese, né dall’occupazione tedesca di Budapest, né dalla trasformazione in due ghetti, neppure quando iniziano le prime deportazioni. E quando proprio Moshé, espulso in precedenza con altri ebrei stranieri, torna per raccontare, a lui e ai suoi compagni, che cosa è successo dopo che il treno ha varcato la frontiera polacca, e cioè che le SS hanno abbattutto i prigionieri a colpi di mitra sul bordo delle fosse fatte scavare da loro stessi e che lui si è salvato per miracolo, Wiesel ricorda come </w:t>
      </w:r>
      <w:r w:rsidRPr="00DA1554">
        <w:rPr>
          <w:b/>
          <w:bCs/>
        </w:rPr>
        <w:t>nessuno, lui compreso, gli credette</w:t>
      </w:r>
      <w:r w:rsidRPr="00DA1554">
        <w:t>: “</w:t>
      </w:r>
      <w:r w:rsidRPr="00DA1554">
        <w:rPr>
          <w:i/>
          <w:iCs/>
        </w:rPr>
        <w:t>poveretto, è diventato matto</w:t>
      </w:r>
      <w:r w:rsidRPr="00DA1554">
        <w:t>”.</w:t>
      </w:r>
    </w:p>
    <w:p w:rsidR="00DA1554" w:rsidRPr="00DA1554" w:rsidRDefault="00DA1554" w:rsidP="00DA1554">
      <w:r w:rsidRPr="00DA1554">
        <w:t>Levi, d’altro canto, sottolinea come alla vigilia dell’annunciata partenza da Fossoli “</w:t>
      </w:r>
      <w:r w:rsidRPr="00DA1554">
        <w:rPr>
          <w:i/>
          <w:iCs/>
        </w:rPr>
        <w:t>per quindici giorni di viaggio”,</w:t>
      </w:r>
      <w:r w:rsidRPr="00DA1554">
        <w:t xml:space="preserve"> c’era ancora chi si ostinava nella speranza, anche se </w:t>
      </w:r>
      <w:r w:rsidRPr="00DA1554">
        <w:rPr>
          <w:i/>
          <w:iCs/>
        </w:rPr>
        <w:t>“noi avevamo parlato a lungo coi profughi polacchi e croati, e sapevamo che cosa voleva dire partire”.</w:t>
      </w:r>
      <w:r w:rsidRPr="00DA1554">
        <w:t xml:space="preserve"> </w:t>
      </w:r>
      <w:r w:rsidRPr="00DA1554">
        <w:rPr>
          <w:vertAlign w:val="superscript"/>
        </w:rPr>
        <w:footnoteReference w:id="5"/>
      </w:r>
      <w:r w:rsidRPr="00DA1554">
        <w:t xml:space="preserve"> </w:t>
      </w:r>
    </w:p>
    <w:p w:rsidR="00DA1554" w:rsidRPr="00DA1554" w:rsidRDefault="00DA1554" w:rsidP="00DA1554">
      <w:pPr>
        <w:rPr>
          <w:u w:val="thick"/>
          <w:lang w:val="en-US"/>
        </w:rPr>
      </w:pPr>
    </w:p>
    <w:p w:rsidR="00DA1554" w:rsidRPr="00DA1554" w:rsidRDefault="00DA1554" w:rsidP="00DA1554">
      <w:pPr>
        <w:rPr>
          <w:b/>
          <w:bCs/>
        </w:rPr>
      </w:pPr>
      <w:r w:rsidRPr="00DA1554">
        <w:rPr>
          <w:b/>
          <w:bCs/>
        </w:rPr>
        <w:t xml:space="preserve">Il rapporto con la fede e l’identità ebraica </w:t>
      </w:r>
    </w:p>
    <w:p w:rsidR="00DA1554" w:rsidRPr="00DA1554" w:rsidRDefault="00DA1554" w:rsidP="00DA1554">
      <w:r w:rsidRPr="00DA1554">
        <w:t>Uno dei temi ricorrenti nel racconto di Wiesel è il trauma che subisce la sua fede con il procedere della tragedia. “</w:t>
      </w:r>
      <w:r w:rsidRPr="00DA1554">
        <w:rPr>
          <w:i/>
          <w:iCs/>
        </w:rPr>
        <w:t>Mai dimenticherò quelle fiamme che consumarono per sempre la mia Fede/ Mai dimenticherò quegli istanti che assassinarono il mio Dio e la mia anima, e i miei sogni, che presero il volto del deserto</w:t>
      </w:r>
      <w:r w:rsidRPr="00DA1554">
        <w:t>”.</w:t>
      </w:r>
      <w:r w:rsidRPr="00DA1554">
        <w:rPr>
          <w:vertAlign w:val="superscript"/>
        </w:rPr>
        <w:footnoteReference w:id="6"/>
      </w:r>
      <w:r w:rsidRPr="00DA1554">
        <w:t xml:space="preserve"> E quando suo padre recita la preghiera dei morti, in cui viene santificato il nome del Signore e paradossalmente non si menziona la morte, “</w:t>
      </w:r>
      <w:r w:rsidRPr="00DA1554">
        <w:rPr>
          <w:i/>
          <w:iCs/>
        </w:rPr>
        <w:t xml:space="preserve">sentii </w:t>
      </w:r>
      <w:r w:rsidRPr="00DA1554">
        <w:t>– dice l’autore</w:t>
      </w:r>
      <w:r w:rsidRPr="00DA1554">
        <w:rPr>
          <w:i/>
          <w:iCs/>
        </w:rPr>
        <w:t xml:space="preserve"> – la rivolta crescere in me. Perché dovevo santificare il Suo Nome? L’Eterno, il Signore dell’Universo, l’Eterno Onnipotente taceva: di cosa dovevo ringraziarLo?”.</w:t>
      </w:r>
      <w:r w:rsidRPr="00DA1554">
        <w:rPr>
          <w:i/>
          <w:iCs/>
          <w:vertAlign w:val="superscript"/>
        </w:rPr>
        <w:footnoteReference w:id="7"/>
      </w:r>
      <w:r w:rsidRPr="00DA1554">
        <w:t xml:space="preserve"> Pur non arrivando a negare l’esistenza di Dio, Wiesel manifesta la sua </w:t>
      </w:r>
      <w:r w:rsidRPr="00DA1554">
        <w:rPr>
          <w:b/>
          <w:bCs/>
        </w:rPr>
        <w:t>rivolta adolescenziale</w:t>
      </w:r>
      <w:r w:rsidRPr="00DA1554">
        <w:t xml:space="preserve">, smettendo di pregare, non digiunando per </w:t>
      </w:r>
      <w:r w:rsidRPr="00DA1554">
        <w:rPr>
          <w:b/>
          <w:bCs/>
          <w:color w:val="FF0000"/>
        </w:rPr>
        <w:t>Yom Kippur</w:t>
      </w:r>
      <w:r w:rsidRPr="00DA1554">
        <w:t>, perché “</w:t>
      </w:r>
      <w:r w:rsidRPr="00DA1554">
        <w:rPr>
          <w:i/>
          <w:iCs/>
        </w:rPr>
        <w:t>dubitavo della Sua giustizia assoluta</w:t>
      </w:r>
      <w:r w:rsidRPr="00DA1554">
        <w:t xml:space="preserve">”. Wiesel tornerà in successivi scritti sul </w:t>
      </w:r>
      <w:r w:rsidRPr="00DA1554">
        <w:rPr>
          <w:b/>
          <w:bCs/>
        </w:rPr>
        <w:t>dramma del credente</w:t>
      </w:r>
      <w:r w:rsidRPr="00DA1554">
        <w:t>, affermando che “</w:t>
      </w:r>
      <w:r w:rsidRPr="00DA1554">
        <w:rPr>
          <w:i/>
          <w:iCs/>
        </w:rPr>
        <w:t>ci fu un tempo in cui l’oscurità nella quale mi trovavo mi incitava alla collera, e anche alla rivolta. Più tardi, non provavo che tristezza</w:t>
      </w:r>
      <w:r w:rsidRPr="00DA1554">
        <w:t>”.</w:t>
      </w:r>
      <w:r w:rsidRPr="00DA1554">
        <w:rPr>
          <w:vertAlign w:val="superscript"/>
        </w:rPr>
        <w:footnoteReference w:id="8"/>
      </w:r>
    </w:p>
    <w:p w:rsidR="00DA1554" w:rsidRPr="00DA1554" w:rsidRDefault="00DA1554" w:rsidP="00DA1554">
      <w:r w:rsidRPr="00DA1554">
        <w:rPr>
          <w:b/>
          <w:bCs/>
        </w:rPr>
        <w:t>Primo Levi</w:t>
      </w:r>
      <w:r w:rsidRPr="00DA1554">
        <w:t xml:space="preserve"> ha 24 anni al momento della sua cattura da parte della Milizia fascista. Dopo il liceo classico, si è laureato in chimica (Wiesel si laureerà molti anni dopo alla Sorbona in filosofia). Nel suo libro </w:t>
      </w:r>
      <w:r w:rsidRPr="00DA1554">
        <w:rPr>
          <w:b/>
          <w:bCs/>
        </w:rPr>
        <w:t>non c’è alcun riferimento alla famiglia</w:t>
      </w:r>
      <w:r w:rsidRPr="00DA1554">
        <w:t>, all’ambiente, agli amici. Solo un accenno a sé, piuttosto ironico: “</w:t>
      </w:r>
      <w:r w:rsidRPr="00DA1554">
        <w:rPr>
          <w:i/>
          <w:iCs/>
        </w:rPr>
        <w:t>Avevo 24 anni, poco senno, nessuna esperienza, e una decisa propensione […] a vivere in un mio mondo scarsamente reale, popolato da civili fantasmi cartesiani</w:t>
      </w:r>
      <w:r w:rsidRPr="00DA1554">
        <w:t>”.</w:t>
      </w:r>
      <w:r w:rsidRPr="00DA1554">
        <w:rPr>
          <w:vertAlign w:val="superscript"/>
        </w:rPr>
        <w:footnoteReference w:id="9"/>
      </w:r>
      <w:r w:rsidRPr="00DA1554">
        <w:t xml:space="preserve"> </w:t>
      </w:r>
      <w:r w:rsidRPr="00DA1554">
        <w:rPr>
          <w:b/>
          <w:bCs/>
        </w:rPr>
        <w:t>Una sola pagina di premessa</w:t>
      </w:r>
      <w:r w:rsidRPr="00DA1554">
        <w:t>: subito dopo inizia l’inferno. E, quanto all’identità ebraica, dopo l’arresto preferisce dichiarare la sua condizione di “</w:t>
      </w:r>
      <w:r w:rsidRPr="00DA1554">
        <w:rPr>
          <w:i/>
          <w:iCs/>
        </w:rPr>
        <w:t>cittadino italiano di razza ebraica</w:t>
      </w:r>
      <w:r w:rsidRPr="00DA1554">
        <w:t>”, nella convinzione che sia più grave ammettere la sua attività politica. Anche l’accenno al “</w:t>
      </w:r>
      <w:r w:rsidRPr="00DA1554">
        <w:rPr>
          <w:i/>
          <w:iCs/>
        </w:rPr>
        <w:t>regime di segregazione a cui da quattro anni le leggi razziali mi avevavo ridotto</w:t>
      </w:r>
      <w:r w:rsidRPr="00DA1554">
        <w:t>”</w:t>
      </w:r>
      <w:r w:rsidRPr="00DA1554">
        <w:rPr>
          <w:vertAlign w:val="superscript"/>
        </w:rPr>
        <w:footnoteReference w:id="10"/>
      </w:r>
      <w:r w:rsidRPr="00DA1554">
        <w:t xml:space="preserve"> è detto per inciso. </w:t>
      </w:r>
    </w:p>
    <w:p w:rsidR="00DA1554" w:rsidRPr="00DA1554" w:rsidRDefault="00DA1554" w:rsidP="00DA1554">
      <w:r w:rsidRPr="00DA1554">
        <w:t xml:space="preserve">L’essere ebreo non è quindi per Levi sostanziale per quello che vuole raccontare, anche se presente, almeno nel subconscio. Un esempio può essere l’episodio riportato all’inizio, quando con altri prigionieri sosta davanti alla </w:t>
      </w:r>
      <w:r w:rsidRPr="00DA1554">
        <w:rPr>
          <w:b/>
          <w:bCs/>
        </w:rPr>
        <w:t>baracca della famiglia Gattegna</w:t>
      </w:r>
      <w:r w:rsidRPr="00DA1554">
        <w:t xml:space="preserve"> e, assistendo ai preparativi che loro stessi fanno, “</w:t>
      </w:r>
      <w:r w:rsidRPr="00DA1554">
        <w:rPr>
          <w:i/>
          <w:iCs/>
        </w:rPr>
        <w:t>secondo il costume dei padri”, della loro veglia funebre, sente discendere “nell’anima, nuovo per noi, il dolore antico del popolo che non ha terra, il dolore senza speranza dell’esodo ogni secolo rinnovato</w:t>
      </w:r>
      <w:r w:rsidRPr="00DA1554">
        <w:t>”</w:t>
      </w:r>
      <w:r w:rsidRPr="00DA1554">
        <w:rPr>
          <w:vertAlign w:val="superscript"/>
        </w:rPr>
        <w:footnoteReference w:id="11"/>
      </w:r>
      <w:r w:rsidRPr="00DA1554">
        <w:t xml:space="preserve">. E ancora, nella </w:t>
      </w:r>
      <w:r w:rsidRPr="00DA1554">
        <w:rPr>
          <w:b/>
          <w:bCs/>
        </w:rPr>
        <w:t>poesia che introduce il suo libro</w:t>
      </w:r>
      <w:r w:rsidRPr="00DA1554">
        <w:t xml:space="preserve"> – “</w:t>
      </w:r>
      <w:r w:rsidRPr="00DA1554">
        <w:rPr>
          <w:i/>
          <w:iCs/>
        </w:rPr>
        <w:t>Vi comando queste parole/scolpitele nel vostro cuore/stando in casa andando per via/coricandovi alzandovi/ripetetele ai vostri figli</w:t>
      </w:r>
      <w:r w:rsidRPr="00DA1554">
        <w:t xml:space="preserve">” – vi è l’eco della preghiera più importante dell’ebraismo, lo </w:t>
      </w:r>
      <w:r w:rsidRPr="00DA1554">
        <w:rPr>
          <w:b/>
          <w:bCs/>
          <w:i/>
          <w:iCs/>
          <w:color w:val="FF0000"/>
        </w:rPr>
        <w:t>Shemà</w:t>
      </w:r>
      <w:r w:rsidRPr="00DA1554">
        <w:t xml:space="preserve">, posta a fondamento della fede nel Dio unico. </w:t>
      </w:r>
    </w:p>
    <w:p w:rsidR="00DA1554" w:rsidRDefault="00DA1554" w:rsidP="00DA1554">
      <w:r w:rsidRPr="00DA1554">
        <w:t xml:space="preserve">L’autore la conosceva certamente per aver compiuto, come ogni ragazzo di 13 anni, la preparazione alla sua maggiorità religiosa, sebbene qui assuma il significato di un </w:t>
      </w:r>
      <w:r w:rsidRPr="00DA1554">
        <w:rPr>
          <w:b/>
          <w:bCs/>
        </w:rPr>
        <w:t>monito di responsabilità dell’uomo verso l’uomo</w:t>
      </w:r>
      <w:r w:rsidRPr="00DA1554">
        <w:t xml:space="preserve"> e non dell’uomo verso Dio. Perché, a proposito di Dio, reagendo alla preghiera che il signor Kuhn, rivolge a Dio per ringraziarlo di aver superato la selezione, Levi afferma lapidariamente “</w:t>
      </w:r>
      <w:r w:rsidRPr="00DA1554">
        <w:rPr>
          <w:i/>
          <w:iCs/>
        </w:rPr>
        <w:t>Se io fossi Dio, sputerei a terra la preghiera di Kuhn</w:t>
      </w:r>
      <w:r w:rsidRPr="00DA1554">
        <w:t>”.</w:t>
      </w:r>
      <w:r w:rsidRPr="00DA1554">
        <w:rPr>
          <w:vertAlign w:val="superscript"/>
        </w:rPr>
        <w:footnoteReference w:id="12"/>
      </w:r>
      <w:r w:rsidRPr="00DA1554">
        <w:t xml:space="preserve"> Ma l’animo umano riserva delle sorprese. Nell’ultimo capitolo, dove ripercorre gli ultimi dieci giorni nel campo, dopo che i tedeschi lo hanno abbandonato, offre questa riflessione: “</w:t>
      </w:r>
      <w:r w:rsidRPr="00DA1554">
        <w:rPr>
          <w:i/>
          <w:iCs/>
        </w:rPr>
        <w:t>Oggi io penso che, se non altro per il fatto che un Auschwitz è esistito, nessuno dovrebbe ai nostri giorni parlare di Provvidenza: ma è certo che in quell’ora il ricordo dei salvamenti biblici nelle avversità estreme passò come un vento per tutti gli animi</w:t>
      </w:r>
      <w:r w:rsidRPr="00DA1554">
        <w:t>”.</w:t>
      </w:r>
      <w:r w:rsidRPr="00DA1554">
        <w:rPr>
          <w:vertAlign w:val="superscript"/>
        </w:rPr>
        <w:footnoteReference w:id="13"/>
      </w:r>
    </w:p>
    <w:p w:rsidR="00DA1554" w:rsidRDefault="00DA1554" w:rsidP="00DA1554"/>
    <w:p w:rsidR="00DA1554" w:rsidRPr="00DA1554" w:rsidRDefault="00DA1554" w:rsidP="00DA1554">
      <w:pPr>
        <w:pBdr>
          <w:top w:val="single" w:sz="4" w:space="1" w:color="auto"/>
          <w:left w:val="single" w:sz="4" w:space="4" w:color="auto"/>
          <w:bottom w:val="single" w:sz="4" w:space="1" w:color="auto"/>
          <w:right w:val="single" w:sz="4" w:space="4" w:color="auto"/>
        </w:pBdr>
        <w:rPr>
          <w:sz w:val="20"/>
          <w:szCs w:val="20"/>
        </w:rPr>
      </w:pPr>
      <w:r w:rsidRPr="00DA1554">
        <w:rPr>
          <w:b/>
          <w:bCs/>
          <w:color w:val="FF0000"/>
          <w:sz w:val="20"/>
          <w:szCs w:val="20"/>
        </w:rPr>
        <w:t>Yom Kippur</w:t>
      </w:r>
      <w:r w:rsidRPr="00DA1554">
        <w:rPr>
          <w:sz w:val="20"/>
          <w:szCs w:val="20"/>
        </w:rPr>
        <w:t xml:space="preserve"> (in ebraico, giorno dell’espiazione), che cade dieci giorni dopo l’inizio del nuovo anno (Rosh-Hashanà, in genere a settembre), è il digiuno di un giorno, dedicato, in un rapporto diretto con la divinità, alla riflessione e al pentimento. Ma è anche l’occasione per assumersi le proprie responsabilità nei confronti del prossimo: bisogna infatti reciprocamente cercare e concedere il perdono. </w:t>
      </w:r>
    </w:p>
    <w:p w:rsidR="00DA1554" w:rsidRPr="00DA1554" w:rsidRDefault="00DA1554" w:rsidP="00DA1554"/>
    <w:p w:rsidR="00DA1554" w:rsidRPr="00DA1554" w:rsidRDefault="00DA1554" w:rsidP="00DA1554">
      <w:pPr>
        <w:pBdr>
          <w:top w:val="single" w:sz="4" w:space="1" w:color="auto"/>
          <w:left w:val="single" w:sz="4" w:space="4" w:color="auto"/>
          <w:bottom w:val="single" w:sz="4" w:space="1" w:color="auto"/>
          <w:right w:val="single" w:sz="4" w:space="4" w:color="auto"/>
        </w:pBdr>
        <w:rPr>
          <w:sz w:val="20"/>
          <w:szCs w:val="20"/>
        </w:rPr>
      </w:pPr>
      <w:r w:rsidRPr="00DA1554">
        <w:rPr>
          <w:b/>
          <w:bCs/>
          <w:color w:val="FF0000"/>
          <w:sz w:val="20"/>
          <w:szCs w:val="20"/>
        </w:rPr>
        <w:t>Lo Shemà</w:t>
      </w:r>
      <w:r w:rsidRPr="00DA1554">
        <w:rPr>
          <w:sz w:val="20"/>
          <w:szCs w:val="20"/>
        </w:rPr>
        <w:t xml:space="preserve">, in ebraico “Ascolta”, è una preghiera composta di tre brani, tratti dalla Bibbia, che inizia con “Ascolta, Israele, il Signore è il nostro Dio, il Signore è uno”. Questo il brano ripreso da Levi: “ Queste parole, che Io ti comando oggi, saranno sul tuo cuore; le ripeterai ai tuoi figli e parlerai di esse quando te ne starai in casa tua e quando camminerai per la strada, quando ti corichi e quando ti alzi”. </w:t>
      </w:r>
    </w:p>
    <w:p w:rsidR="00DA1554" w:rsidRPr="00DA1554" w:rsidRDefault="00DA1554" w:rsidP="00DA1554"/>
    <w:p w:rsidR="00DA1554" w:rsidRDefault="00DA1554" w:rsidP="00DA1554">
      <w:pPr>
        <w:rPr>
          <w:b/>
          <w:bCs/>
        </w:rPr>
      </w:pPr>
    </w:p>
    <w:p w:rsidR="00DA1554" w:rsidRPr="00DA1554" w:rsidRDefault="00DA1554" w:rsidP="00DA1554">
      <w:pPr>
        <w:rPr>
          <w:b/>
          <w:bCs/>
        </w:rPr>
      </w:pPr>
      <w:r w:rsidRPr="00DA1554">
        <w:rPr>
          <w:b/>
          <w:bCs/>
        </w:rPr>
        <w:t xml:space="preserve">Trasformazione e disumanizzazione nel lager </w:t>
      </w:r>
    </w:p>
    <w:p w:rsidR="00DA1554" w:rsidRPr="00DA1554" w:rsidRDefault="00DA1554" w:rsidP="00DA1554">
      <w:r w:rsidRPr="00DA1554">
        <w:t xml:space="preserve">Wiesel, dopo la selezione in cui </w:t>
      </w:r>
      <w:r w:rsidRPr="00DA1554">
        <w:rPr>
          <w:b/>
          <w:bCs/>
        </w:rPr>
        <w:t>ha visto scomparire la madre e le sorelle</w:t>
      </w:r>
      <w:r w:rsidRPr="00DA1554">
        <w:t xml:space="preserve"> – “</w:t>
      </w:r>
      <w:r w:rsidRPr="00DA1554">
        <w:rPr>
          <w:i/>
          <w:iCs/>
        </w:rPr>
        <w:t>In una frazione di secondo potei vedere mia madre, le mie sorelle, andare verso destra […]. E non sapevo certo che in quel luogo, in quell’istante, io abbandonavo mia madre per sempre</w:t>
      </w:r>
      <w:r w:rsidRPr="00DA1554">
        <w:t xml:space="preserve">” </w:t>
      </w:r>
      <w:r w:rsidRPr="00DA1554">
        <w:rPr>
          <w:vertAlign w:val="superscript"/>
        </w:rPr>
        <w:footnoteReference w:id="14"/>
      </w:r>
      <w:r w:rsidRPr="00DA1554">
        <w:t xml:space="preserve"> – si ritrova solo con il padre. Il rapporto con questi costituisce l’altro tema del libro. </w:t>
      </w:r>
    </w:p>
    <w:p w:rsidR="00DA1554" w:rsidRPr="00DA1554" w:rsidRDefault="00DA1554" w:rsidP="00DA1554">
      <w:r w:rsidRPr="00DA1554">
        <w:rPr>
          <w:i/>
          <w:iCs/>
        </w:rPr>
        <w:t>“Mio padre mi teneva per mano</w:t>
      </w:r>
      <w:r w:rsidRPr="00DA1554">
        <w:t>”: un padre ancora in grado di proteggere il figlio, ma con il procedere del racconto, il rapporto si inverte. Picchiato selvaggiamente in più occasioni dal kapo di turno, perde progressivamente ogni capacità di reazione, mentre il figlio, pur assumendo su di sé la responsabilità di aiutarlo, è tormentato da un continuo senso di colpa, perché ha capito che in quell’inferno, dove i valori umani sono aboliti, le possibilità di sopravvivenza dipendono dalla capacità di pensare a se stessi. Wiesel adulto rivive questo dramma interiore come l’apice della disumanizzazione raggiunta nel lager, alla quale lui stesso, almeno col pensiero, non è sfuggito. “</w:t>
      </w:r>
      <w:r w:rsidRPr="00DA1554">
        <w:rPr>
          <w:i/>
          <w:iCs/>
        </w:rPr>
        <w:t>Io ero rimasto pietrificato. Cosa mi era dunque successo? Avevano picchiato mio padre, davanti ai miei occhi, e io non avevo battuto ciglio. […] Ero dunque così cambiato? Così in fretta? Il rimorso cominciava a tormentarmi</w:t>
      </w:r>
      <w:r w:rsidRPr="00DA1554">
        <w:t>”.</w:t>
      </w:r>
      <w:r w:rsidRPr="00DA1554">
        <w:rPr>
          <w:vertAlign w:val="superscript"/>
        </w:rPr>
        <w:footnoteReference w:id="15"/>
      </w:r>
    </w:p>
    <w:p w:rsidR="00DA1554" w:rsidRPr="00DA1554" w:rsidRDefault="00DA1554" w:rsidP="00DA1554">
      <w:r w:rsidRPr="00DA1554">
        <w:t xml:space="preserve">Anche Primo Levi parla di sé e della </w:t>
      </w:r>
      <w:r w:rsidRPr="00DA1554">
        <w:rPr>
          <w:b/>
          <w:bCs/>
        </w:rPr>
        <w:t>trasformazione</w:t>
      </w:r>
      <w:r w:rsidRPr="00DA1554">
        <w:t xml:space="preserve"> che ha subìto: “</w:t>
      </w:r>
      <w:r w:rsidRPr="00DA1554">
        <w:rPr>
          <w:i/>
          <w:iCs/>
        </w:rPr>
        <w:t>Eccomi dunque sul fondo. A dare un colpo di spugna al passato e al futuro si impara assai presto, se il bisogno preme. Dopo quindici giorni dall’ingresso, già ho la fame regolamentare, la fame cronica sconosciuta agli uomini liberi […] già ho imparato a non lasciarmi derubare, e se anzi trovo un cucchiaio, uno spago, un bottone […] li intasco e li considero miei di pieno diritto</w:t>
      </w:r>
      <w:r w:rsidRPr="00DA1554">
        <w:t>”.</w:t>
      </w:r>
      <w:r w:rsidRPr="00DA1554">
        <w:rPr>
          <w:vertAlign w:val="superscript"/>
        </w:rPr>
        <w:footnoteReference w:id="16"/>
      </w:r>
      <w:r w:rsidRPr="00DA1554">
        <w:t xml:space="preserve"> Ma, mentre Wiesel mantiene per tutto il racconto questa proiezione su se stesso, Levi esce dai confini del proprio io e, nel farsi cronista meticoloso della vita nel lager, puntella il suo racconto di riflessioni più generali sulle </w:t>
      </w:r>
      <w:r w:rsidRPr="00DA1554">
        <w:rPr>
          <w:b/>
          <w:bCs/>
        </w:rPr>
        <w:t>reazioni dell’essere umano ridotto in queste condizioni</w:t>
      </w:r>
      <w:r w:rsidRPr="00DA1554">
        <w:t>. “</w:t>
      </w:r>
      <w:r w:rsidRPr="00DA1554">
        <w:rPr>
          <w:i/>
          <w:iCs/>
        </w:rPr>
        <w:t>Ma in Lager avviene altrimenti: qui la lotta per la sopravvivenza è senza remissione, perché ognuno è disperatamente ferocemente solo</w:t>
      </w:r>
      <w:r w:rsidRPr="00DA1554">
        <w:t>”.</w:t>
      </w:r>
      <w:r w:rsidRPr="00DA1554">
        <w:rPr>
          <w:vertAlign w:val="superscript"/>
        </w:rPr>
        <w:footnoteReference w:id="17"/>
      </w:r>
    </w:p>
    <w:p w:rsidR="00DA1554" w:rsidRPr="00DA1554" w:rsidRDefault="00DA1554" w:rsidP="00DA1554">
      <w:pPr>
        <w:rPr>
          <w:b/>
          <w:bCs/>
        </w:rPr>
      </w:pPr>
    </w:p>
    <w:p w:rsidR="00DA1554" w:rsidRPr="00DA1554" w:rsidRDefault="00DA1554" w:rsidP="00DA1554">
      <w:pPr>
        <w:rPr>
          <w:b/>
          <w:bCs/>
        </w:rPr>
      </w:pPr>
      <w:r w:rsidRPr="00DA1554">
        <w:rPr>
          <w:b/>
          <w:bCs/>
        </w:rPr>
        <w:t xml:space="preserve">Fuori dall’inferno e testimonianza </w:t>
      </w:r>
    </w:p>
    <w:p w:rsidR="00DA1554" w:rsidRPr="00DA1554" w:rsidRDefault="00DA1554" w:rsidP="00DA1554">
      <w:r w:rsidRPr="00DA1554">
        <w:t xml:space="preserve">Nei due libri ci sono dei momenti che </w:t>
      </w:r>
      <w:r w:rsidRPr="00DA1554">
        <w:rPr>
          <w:b/>
          <w:bCs/>
        </w:rPr>
        <w:t>proiettano il lettore all’esterno dell’inferno</w:t>
      </w:r>
      <w:r w:rsidRPr="00DA1554">
        <w:t xml:space="preserve">. Diversi anni dopo, Wiesel incontra casualmente a Parigi una signora nella quale riconosce l’operaia che lo aveva soccorso e consolato, quando era stato selvaggiamente picchiato dal </w:t>
      </w:r>
      <w:r w:rsidRPr="00DA1554">
        <w:rPr>
          <w:i/>
          <w:iCs/>
        </w:rPr>
        <w:t>kapo</w:t>
      </w:r>
      <w:r w:rsidRPr="00DA1554">
        <w:t>. Vederli seduti al caffé a rievocare quel terribile passato concede un po’ di tregua. Nell’altro caso, invece, durante un viaggio in nave ad Aden, alla vista dei passeggeri che “</w:t>
      </w:r>
      <w:r w:rsidRPr="00DA1554">
        <w:rPr>
          <w:i/>
          <w:iCs/>
        </w:rPr>
        <w:t>si divertivano a gettare delle monetine ai “nativi””</w:t>
      </w:r>
      <w:r w:rsidRPr="00DA1554">
        <w:t xml:space="preserve"> e di due bambini che per acchiapparle si “</w:t>
      </w:r>
      <w:r w:rsidRPr="00DA1554">
        <w:rPr>
          <w:i/>
          <w:iCs/>
        </w:rPr>
        <w:t>battevano a morte</w:t>
      </w:r>
      <w:r w:rsidRPr="00DA1554">
        <w:t>”, ricorda di quando, durante il trasferimento da Auschwitz, un operaio aveva gettato nel loro carro del pane e “</w:t>
      </w:r>
      <w:r w:rsidRPr="00DA1554">
        <w:rPr>
          <w:i/>
          <w:iCs/>
        </w:rPr>
        <w:t>decine di affamati si uccidevano per qualche briciola</w:t>
      </w:r>
      <w:r w:rsidRPr="00DA1554">
        <w:t>”. In dieci giorni di viaggio non era stato dato loro nulla da mangiare.</w:t>
      </w:r>
      <w:r w:rsidRPr="00DA1554">
        <w:rPr>
          <w:vertAlign w:val="superscript"/>
        </w:rPr>
        <w:footnoteReference w:id="18"/>
      </w:r>
      <w:r w:rsidRPr="00DA1554">
        <w:t xml:space="preserve"> </w:t>
      </w:r>
    </w:p>
    <w:p w:rsidR="00DA1554" w:rsidRPr="00DA1554" w:rsidRDefault="00DA1554" w:rsidP="00DA1554">
      <w:r w:rsidRPr="00DA1554">
        <w:t xml:space="preserve">Se in Wiesel ciò avviene nella </w:t>
      </w:r>
      <w:r w:rsidRPr="00DA1554">
        <w:rPr>
          <w:b/>
          <w:bCs/>
        </w:rPr>
        <w:t>realtà</w:t>
      </w:r>
      <w:r w:rsidRPr="00DA1554">
        <w:t xml:space="preserve">, in Primo Levi è un </w:t>
      </w:r>
      <w:r w:rsidRPr="00DA1554">
        <w:rPr>
          <w:b/>
          <w:bCs/>
        </w:rPr>
        <w:t>sogno</w:t>
      </w:r>
      <w:r w:rsidRPr="00DA1554">
        <w:t>: “</w:t>
      </w:r>
      <w:r w:rsidRPr="00DA1554">
        <w:rPr>
          <w:i/>
          <w:iCs/>
        </w:rPr>
        <w:t>Qui c’è mia sorella, e qualche mio amico non precisato, e molta altra gente</w:t>
      </w:r>
      <w:r w:rsidRPr="00DA1554">
        <w:t>”. A loro Levi racconta tutto, provando un “</w:t>
      </w:r>
      <w:r w:rsidRPr="00DA1554">
        <w:rPr>
          <w:i/>
          <w:iCs/>
        </w:rPr>
        <w:t>godimento intenso, fisico, inesprimibile, essere nella mia casa, fra persone amiche</w:t>
      </w:r>
      <w:r w:rsidRPr="00DA1554">
        <w:t>.</w:t>
      </w:r>
      <w:r w:rsidRPr="00DA1554">
        <w:rPr>
          <w:vertAlign w:val="superscript"/>
        </w:rPr>
        <w:footnoteReference w:id="19"/>
      </w:r>
      <w:r w:rsidRPr="00DA1554">
        <w:t xml:space="preserve"> Ma è una gioia che dura poco, sostituita da una “</w:t>
      </w:r>
      <w:r w:rsidRPr="00DA1554">
        <w:rPr>
          <w:i/>
          <w:iCs/>
        </w:rPr>
        <w:t>pena desolata</w:t>
      </w:r>
      <w:r w:rsidRPr="00DA1554">
        <w:t xml:space="preserve">”: si accorge infatti che </w:t>
      </w:r>
      <w:r w:rsidRPr="00DA1554">
        <w:rPr>
          <w:b/>
          <w:bCs/>
        </w:rPr>
        <w:t>sono tutti indifferenti</w:t>
      </w:r>
      <w:r w:rsidRPr="00DA1554">
        <w:t xml:space="preserve"> e che sua sorella è uscita senza dire una parola. Levi sta vivendo qui non tanto il suo dramma personale, fatto di struggente nostalgia, di bisogno di affetto, ma quello del </w:t>
      </w:r>
      <w:r w:rsidRPr="00DA1554">
        <w:rPr>
          <w:b/>
          <w:bCs/>
        </w:rPr>
        <w:t>testimone</w:t>
      </w:r>
      <w:r w:rsidRPr="00DA1554">
        <w:t xml:space="preserve"> che sa quanto è difficile farsi credere dalla gente.</w:t>
      </w:r>
    </w:p>
    <w:p w:rsidR="00DA1554" w:rsidRPr="00DA1554" w:rsidRDefault="00DA1554" w:rsidP="00DA1554">
      <w:r w:rsidRPr="00DA1554">
        <w:t>Entrambi gli autori offrono il ritratto di alcuni compagni di sventura, come per assolvere, ricordandoli, al compito di testimonianza che si sono prefissati. In questo panorama di brutalità, violenza, cinismo, indifferenza (“</w:t>
      </w:r>
      <w:r w:rsidRPr="00DA1554">
        <w:rPr>
          <w:i/>
          <w:iCs/>
        </w:rPr>
        <w:t>I personaggi di queste pagine non sono uomini. La loro umanità è sepolta, o essi stessi l’hanno sepolta, sotto l’offesa subita o inflitta altrui</w:t>
      </w:r>
      <w:r w:rsidRPr="00DA1554">
        <w:t xml:space="preserve">” </w:t>
      </w:r>
      <w:r w:rsidRPr="00DA1554">
        <w:rPr>
          <w:vertAlign w:val="superscript"/>
        </w:rPr>
        <w:footnoteReference w:id="20"/>
      </w:r>
      <w:r w:rsidRPr="00DA1554">
        <w:t xml:space="preserve">), ci parlano di </w:t>
      </w:r>
      <w:r w:rsidRPr="00DA1554">
        <w:rPr>
          <w:b/>
          <w:bCs/>
        </w:rPr>
        <w:t>persone buone</w:t>
      </w:r>
      <w:r w:rsidRPr="00DA1554">
        <w:t>, come Lorenzo, un operaio civile italiano che per sei mesi offre a Levi un pezzo di pane e gli avanzi del suo rancio, facendogli capire che “</w:t>
      </w:r>
      <w:r w:rsidRPr="00DA1554">
        <w:rPr>
          <w:i/>
          <w:iCs/>
        </w:rPr>
        <w:t>ancora esisteva un mondo giusto al di fuori del nostro</w:t>
      </w:r>
      <w:r w:rsidRPr="00DA1554">
        <w:t>”,</w:t>
      </w:r>
      <w:r w:rsidRPr="00DA1554">
        <w:rPr>
          <w:vertAlign w:val="superscript"/>
        </w:rPr>
        <w:footnoteReference w:id="21"/>
      </w:r>
      <w:r w:rsidRPr="00DA1554">
        <w:t xml:space="preserve"> o come l’</w:t>
      </w:r>
      <w:r w:rsidRPr="00DA1554">
        <w:rPr>
          <w:i/>
          <w:iCs/>
        </w:rPr>
        <w:t>Oberkapo</w:t>
      </w:r>
      <w:r w:rsidRPr="00DA1554">
        <w:t xml:space="preserve"> olandese del 52º commando dei cavi, ricordato da Wiesel, che non aveva mai picchiato nessuno dei settecento detenuti che lavoravano ai suoi ordini e che, accusato di sabotaggio alla centrale elettrica della Buna, finì nella camera a gas di Birkenau.</w:t>
      </w:r>
      <w:r w:rsidRPr="00DA1554">
        <w:rPr>
          <w:vertAlign w:val="superscript"/>
        </w:rPr>
        <w:footnoteReference w:id="22"/>
      </w:r>
    </w:p>
    <w:p w:rsidR="00DA1554" w:rsidRPr="00DA1554" w:rsidRDefault="00DA1554" w:rsidP="00DA1554">
      <w:pPr>
        <w:rPr>
          <w:lang w:val="en-US"/>
        </w:rPr>
      </w:pPr>
    </w:p>
    <w:p w:rsidR="00DA1554" w:rsidRPr="00DA1554" w:rsidRDefault="00DA1554" w:rsidP="00DA1554">
      <w:pPr>
        <w:rPr>
          <w:b/>
          <w:bCs/>
        </w:rPr>
      </w:pPr>
      <w:r w:rsidRPr="00DA1554">
        <w:rPr>
          <w:b/>
          <w:bCs/>
        </w:rPr>
        <w:t xml:space="preserve">Dignità e poesia </w:t>
      </w:r>
    </w:p>
    <w:p w:rsidR="00DA1554" w:rsidRPr="00DA1554" w:rsidRDefault="00DA1554" w:rsidP="00DA1554">
      <w:r w:rsidRPr="00DA1554">
        <w:t xml:space="preserve">Quello che unisce i due autori è lo sforzo per salvare la propria </w:t>
      </w:r>
      <w:r w:rsidRPr="00DA1554">
        <w:rPr>
          <w:b/>
          <w:bCs/>
        </w:rPr>
        <w:t>dignità</w:t>
      </w:r>
      <w:r w:rsidRPr="00DA1554">
        <w:t xml:space="preserve">: per Wiesel è nel continuo interrogare la sua </w:t>
      </w:r>
      <w:r w:rsidRPr="00DA1554">
        <w:rPr>
          <w:b/>
          <w:bCs/>
        </w:rPr>
        <w:t>fede</w:t>
      </w:r>
      <w:r w:rsidRPr="00DA1554">
        <w:t>, nel respingere ma anche nel ricercare quel Dio muto e nel co</w:t>
      </w:r>
      <w:r w:rsidRPr="00DA1554">
        <w:rPr>
          <w:b/>
          <w:bCs/>
        </w:rPr>
        <w:t xml:space="preserve">nfrontarsi costantemente con la propria coscienza; Levi, </w:t>
      </w:r>
      <w:r w:rsidRPr="00DA1554">
        <w:t>invece, nonostante affermi di non avere “</w:t>
      </w:r>
      <w:r w:rsidRPr="00DA1554">
        <w:rPr>
          <w:i/>
          <w:iCs/>
        </w:rPr>
        <w:t>la stoffa di quelli che resistono</w:t>
      </w:r>
      <w:r w:rsidRPr="00DA1554">
        <w:t>”, perché “</w:t>
      </w:r>
      <w:r w:rsidRPr="00DA1554">
        <w:rPr>
          <w:i/>
          <w:iCs/>
        </w:rPr>
        <w:t>sono troppo civile, penso ancora troppo</w:t>
      </w:r>
      <w:r w:rsidRPr="00DA1554">
        <w:t>”</w:t>
      </w:r>
      <w:r w:rsidRPr="00DA1554">
        <w:rPr>
          <w:vertAlign w:val="superscript"/>
        </w:rPr>
        <w:footnoteReference w:id="23"/>
      </w:r>
      <w:r w:rsidRPr="00DA1554">
        <w:t xml:space="preserve"> è nella </w:t>
      </w:r>
      <w:r w:rsidRPr="00DA1554">
        <w:rPr>
          <w:b/>
          <w:bCs/>
        </w:rPr>
        <w:t>cultura</w:t>
      </w:r>
      <w:r w:rsidRPr="00DA1554">
        <w:t xml:space="preserve"> che trova l’appiglio per non sprofondare. Come altrimenti valutare che, per insegnare l’italiano a Pikolo, scelga proprio l’</w:t>
      </w:r>
      <w:r w:rsidRPr="00DA1554">
        <w:rPr>
          <w:b/>
          <w:bCs/>
        </w:rPr>
        <w:t>Ulisse dantesco</w:t>
      </w:r>
      <w:r w:rsidRPr="00DA1554">
        <w:t xml:space="preserve">, in un’ affannosa corsa contro il tempo per ricordare le terzine e recitarle prima di arrivare alle cucine, dove “ </w:t>
      </w:r>
      <w:r w:rsidRPr="00DA1554">
        <w:rPr>
          <w:i/>
          <w:iCs/>
        </w:rPr>
        <w:t>’l mar fu sopra noi richiuso</w:t>
      </w:r>
      <w:r w:rsidRPr="00DA1554">
        <w:t>”. E, quando arriva a quella in cui “</w:t>
      </w:r>
      <w:r w:rsidRPr="00DA1554">
        <w:rPr>
          <w:i/>
          <w:iCs/>
        </w:rPr>
        <w:t>apparve una montagna, bruna</w:t>
      </w:r>
      <w:r w:rsidRPr="00DA1554">
        <w:t xml:space="preserve">” ecco il dramma: nella sua mente affiora il ricordo delle sue montagne, quelle così spesso contemplate negli spostamenti tra Milano e Torino, che lo riempiono di dolorosa nostalgia. Levi sa che è una debolezza pericolosa, ma anche che </w:t>
      </w:r>
      <w:r w:rsidRPr="00DA1554">
        <w:rPr>
          <w:b/>
          <w:bCs/>
        </w:rPr>
        <w:t>non tutto l’umano in lui è scomparso</w:t>
      </w:r>
      <w:r w:rsidRPr="00DA1554">
        <w:t>.</w:t>
      </w:r>
    </w:p>
    <w:p w:rsidR="00DA1554" w:rsidRPr="00DA1554" w:rsidRDefault="00DA1554" w:rsidP="00DA1554">
      <w:r w:rsidRPr="00DA1554">
        <w:t>“</w:t>
      </w:r>
      <w:r w:rsidRPr="00DA1554">
        <w:rPr>
          <w:i/>
          <w:iCs/>
        </w:rPr>
        <w:t>Scrivere una poesia dopo Auschwitz è un atto di barbarie”</w:t>
      </w:r>
      <w:r w:rsidRPr="00DA1554">
        <w:t xml:space="preserve">, scriveva Theodor Adorno nel 1949. Eppure, nelle due opere, proprio perché gli autori si confrontano con l’indicibile, ricorrono spesso al </w:t>
      </w:r>
      <w:r w:rsidRPr="00DA1554">
        <w:rPr>
          <w:b/>
          <w:bCs/>
        </w:rPr>
        <w:t>registro poetico</w:t>
      </w:r>
      <w:r w:rsidRPr="00DA1554">
        <w:t xml:space="preserve"> che si esprime, come si può rilevare anche nei ricordi comuni riportati, nella struttura stessa dei periodi, composti di frasi brevi, giustapposte, più nominali che verbali, a testimoniare la frantumazione della vita, ridotta a una sequenza di momenti presenti, senza più legami con realtà precedenti o susseguenti.</w:t>
      </w:r>
    </w:p>
    <w:p w:rsidR="00DA1554" w:rsidRPr="00DA1554" w:rsidRDefault="00DA1554" w:rsidP="00DA1554">
      <w:pPr>
        <w:rPr>
          <w:b/>
          <w:bCs/>
        </w:rPr>
      </w:pPr>
    </w:p>
    <w:p w:rsidR="00DA1554" w:rsidRDefault="00DA1554" w:rsidP="00DA1554">
      <w:pPr>
        <w:rPr>
          <w:b/>
          <w:bCs/>
        </w:rPr>
      </w:pPr>
    </w:p>
    <w:p w:rsidR="00DA1554" w:rsidRDefault="00DA1554" w:rsidP="00DA1554">
      <w:pPr>
        <w:rPr>
          <w:b/>
          <w:bCs/>
        </w:rPr>
      </w:pPr>
    </w:p>
    <w:p w:rsidR="00DA1554" w:rsidRPr="00DA1554" w:rsidRDefault="00DA1554" w:rsidP="00DA1554">
      <w:pPr>
        <w:rPr>
          <w:b/>
          <w:bCs/>
        </w:rPr>
      </w:pPr>
      <w:bookmarkStart w:id="0" w:name="_GoBack"/>
      <w:bookmarkEnd w:id="0"/>
      <w:r w:rsidRPr="00DA1554">
        <w:rPr>
          <w:b/>
          <w:bCs/>
        </w:rPr>
        <w:t>Testimoni scrittori</w:t>
      </w:r>
    </w:p>
    <w:p w:rsidR="00DA1554" w:rsidRPr="00DA1554" w:rsidRDefault="00DA1554" w:rsidP="00DA1554">
      <w:r w:rsidRPr="00DA1554">
        <w:t>“</w:t>
      </w:r>
      <w:r w:rsidRPr="00DA1554">
        <w:rPr>
          <w:i/>
          <w:iCs/>
        </w:rPr>
        <w:t xml:space="preserve">Una certa affermazione posso però formularla, ed è questa: se non avessi vissuto la stagione di Auschwitz, probabilmente non avrei scritto nulla </w:t>
      </w:r>
      <w:r w:rsidRPr="00DA1554">
        <w:t>[…]</w:t>
      </w:r>
      <w:r w:rsidRPr="00DA1554">
        <w:rPr>
          <w:i/>
          <w:iCs/>
        </w:rPr>
        <w:t xml:space="preserve">. È stata l’esperienza del Lager a costringermi a scrivere </w:t>
      </w:r>
      <w:r w:rsidRPr="00DA1554">
        <w:t>[…]”.</w:t>
      </w:r>
      <w:r w:rsidRPr="00DA1554">
        <w:rPr>
          <w:vertAlign w:val="superscript"/>
        </w:rPr>
        <w:footnoteReference w:id="24"/>
      </w:r>
    </w:p>
    <w:p w:rsidR="00DA1554" w:rsidRPr="00DA1554" w:rsidRDefault="00DA1554" w:rsidP="00DA1554">
      <w:r w:rsidRPr="00DA1554">
        <w:t xml:space="preserve">Le parole di Levi illustrano bene l’intenzione di quanti fra i </w:t>
      </w:r>
      <w:r w:rsidRPr="00DA1554">
        <w:rPr>
          <w:b/>
          <w:bCs/>
        </w:rPr>
        <w:t>sopravvissuti</w:t>
      </w:r>
      <w:r w:rsidRPr="00DA1554">
        <w:t xml:space="preserve"> hanno preso questa decisione, quasi che nella </w:t>
      </w:r>
      <w:r w:rsidRPr="00DA1554">
        <w:rPr>
          <w:b/>
          <w:bCs/>
        </w:rPr>
        <w:t>scrittura</w:t>
      </w:r>
      <w:r w:rsidRPr="00DA1554">
        <w:t xml:space="preserve"> ritrovassero la forza di vivere, di ridare un senso alla loro esistenza, oltre che di assolvere a un </w:t>
      </w:r>
      <w:r w:rsidRPr="00DA1554">
        <w:rPr>
          <w:b/>
          <w:bCs/>
        </w:rPr>
        <w:t>debito morale</w:t>
      </w:r>
      <w:r w:rsidRPr="00DA1554">
        <w:t xml:space="preserve"> nei confronti di chi non poteva più farlo. </w:t>
      </w:r>
    </w:p>
    <w:p w:rsidR="00DA1554" w:rsidRPr="00DA1554" w:rsidRDefault="00DA1554" w:rsidP="00DA1554">
      <w:r w:rsidRPr="00DA1554">
        <w:t>Parlando da insegnante a insegnanti, è diventato essenziale in effetti interrogarsi su come trasmettere alle giovani generazioni questa immane tragedia, che ha macchiato indelebilmente la storia europea del XX secolo, per evitare che con il passare del tempo se ne perda la memoria e con essa il monito che se ne deve trarre.</w:t>
      </w:r>
    </w:p>
    <w:p w:rsidR="00DA1554" w:rsidRPr="00DA1554" w:rsidRDefault="00DA1554" w:rsidP="00DA1554">
      <w:r w:rsidRPr="00DA1554">
        <w:t xml:space="preserve">Nella vasta </w:t>
      </w:r>
      <w:r w:rsidRPr="00DA1554">
        <w:rPr>
          <w:b/>
          <w:bCs/>
        </w:rPr>
        <w:t>letteratura</w:t>
      </w:r>
      <w:r w:rsidRPr="00DA1554">
        <w:t xml:space="preserve"> che si è andata formando nel tempo, disponiamo oggi di uno strumento prezioso per rendere partecipi gli allievi di tanta tragedia, anche per la sua capacità di integrare le conoscenze storiche con le emozioni, le sensazioni, i sentimenti che ne scaturiscono.</w:t>
      </w:r>
    </w:p>
    <w:p w:rsidR="00DA1554" w:rsidRDefault="00DA1554" w:rsidP="00DA1554">
      <w:pPr>
        <w:rPr>
          <w:i/>
          <w:iCs/>
        </w:rPr>
      </w:pPr>
      <w:r w:rsidRPr="00DA1554">
        <w:t xml:space="preserve">Ma, </w:t>
      </w:r>
      <w:r w:rsidRPr="00DA1554">
        <w:rPr>
          <w:b/>
          <w:bCs/>
        </w:rPr>
        <w:t>rompere il silenzio</w:t>
      </w:r>
      <w:r w:rsidRPr="00DA1554">
        <w:t xml:space="preserve"> – uno dei </w:t>
      </w:r>
      <w:r w:rsidRPr="00DA1554">
        <w:rPr>
          <w:i/>
          <w:iCs/>
        </w:rPr>
        <w:t>leitmotiv</w:t>
      </w:r>
      <w:r w:rsidRPr="00DA1554">
        <w:t xml:space="preserve"> di questi racconti – è anche un trauma, perché, come afferma Elie Wiesel, ormai si è consumata “</w:t>
      </w:r>
      <w:r w:rsidRPr="00DA1554">
        <w:rPr>
          <w:i/>
          <w:iCs/>
        </w:rPr>
        <w:t>la rottura tra l’uomo e il suo linguaggio, tra le parole e il senso che esse nascondono</w:t>
      </w:r>
      <w:r w:rsidRPr="00DA1554">
        <w:t>”.</w:t>
      </w:r>
      <w:r w:rsidRPr="00DA1554">
        <w:rPr>
          <w:vertAlign w:val="superscript"/>
        </w:rPr>
        <w:footnoteReference w:id="25"/>
      </w:r>
      <w:r w:rsidRPr="00DA1554">
        <w:t xml:space="preserve"> E, quasi a completamento del discorso, ecco Primo Levi affermare ne </w:t>
      </w:r>
      <w:r w:rsidRPr="00DA1554">
        <w:rPr>
          <w:b/>
          <w:bCs/>
          <w:i/>
          <w:iCs/>
        </w:rPr>
        <w:t>I sommersi e i salvati</w:t>
      </w:r>
      <w:r w:rsidRPr="00DA1554">
        <w:t>, che loro, i sopravvissuti, hanno cercato di raccontare non solo il proprio destino, “</w:t>
      </w:r>
      <w:r w:rsidRPr="00DA1554">
        <w:rPr>
          <w:i/>
          <w:iCs/>
        </w:rPr>
        <w:t xml:space="preserve">ma anche quello degli altri, dei sommersi appunto, ma è soltanto un discorso “per conto di terzi” </w:t>
      </w:r>
      <w:r w:rsidRPr="00DA1554">
        <w:t>[…]</w:t>
      </w:r>
      <w:r w:rsidRPr="00DA1554">
        <w:rPr>
          <w:i/>
          <w:iCs/>
        </w:rPr>
        <w:t xml:space="preserve"> La demolizione condotta a termine, l’opera compiuta, non l’ha raccontata nessuno, come nessuno è mai tornato a raccontare la propria morte”.</w:t>
      </w:r>
      <w:r w:rsidRPr="00DA1554">
        <w:rPr>
          <w:vertAlign w:val="superscript"/>
        </w:rPr>
        <w:footnoteReference w:id="26"/>
      </w:r>
    </w:p>
    <w:p w:rsidR="00DA1554" w:rsidRDefault="00DA1554" w:rsidP="00DA1554">
      <w:pPr>
        <w:rPr>
          <w:i/>
          <w:iCs/>
        </w:rPr>
      </w:pPr>
    </w:p>
    <w:p w:rsidR="00DA1554" w:rsidRDefault="00DA1554" w:rsidP="00DA1554">
      <w:pPr>
        <w:rPr>
          <w:b/>
          <w:bCs/>
          <w:sz w:val="28"/>
          <w:szCs w:val="28"/>
        </w:rPr>
      </w:pPr>
      <w:r w:rsidRPr="00DA1554">
        <w:rPr>
          <w:b/>
          <w:bCs/>
          <w:sz w:val="28"/>
          <w:szCs w:val="28"/>
        </w:rPr>
        <w:t xml:space="preserve">Ricordi comuni </w:t>
      </w:r>
    </w:p>
    <w:p w:rsidR="00DA1554" w:rsidRPr="00DA1554" w:rsidRDefault="00DA1554" w:rsidP="00DA1554">
      <w:pPr>
        <w:rPr>
          <w:b/>
          <w:bCs/>
          <w:sz w:val="28"/>
          <w:szCs w:val="28"/>
        </w:rPr>
      </w:pPr>
    </w:p>
    <w:p w:rsidR="00DA1554" w:rsidRPr="00DA1554" w:rsidRDefault="00DA1554" w:rsidP="00DA1554">
      <w:pPr>
        <w:rPr>
          <w:b/>
          <w:bCs/>
        </w:rPr>
      </w:pPr>
      <w:r w:rsidRPr="00DA1554">
        <w:rPr>
          <w:b/>
          <w:bCs/>
        </w:rPr>
        <w:t>La vigilia della partenza</w:t>
      </w:r>
    </w:p>
    <w:p w:rsidR="00DA1554" w:rsidRPr="00DA1554" w:rsidRDefault="00DA1554" w:rsidP="00DA1554">
      <w:r w:rsidRPr="00DA1554">
        <w:t xml:space="preserve">Primo Levi – </w:t>
      </w:r>
      <w:r w:rsidRPr="00DA1554">
        <w:rPr>
          <w:i/>
          <w:iCs/>
        </w:rPr>
        <w:t xml:space="preserve">Ognuno si congedò dalla vita nel modo che più gli si addiceva </w:t>
      </w:r>
      <w:r w:rsidRPr="00DA1554">
        <w:t>[…]</w:t>
      </w:r>
      <w:r w:rsidRPr="00DA1554">
        <w:rPr>
          <w:i/>
          <w:iCs/>
        </w:rPr>
        <w:t>. Le madri vegliarono a preparare con dolce cura il cibo per il viaggio, e lavarono i bambini, e fecero i bagagli, e all’alba i fili spinati erano pieni di biancheria stesa al vento ad asciugare</w:t>
      </w:r>
      <w:r w:rsidRPr="00DA1554">
        <w:t>. (pag.13)</w:t>
      </w:r>
    </w:p>
    <w:p w:rsidR="00DA1554" w:rsidRPr="00DA1554" w:rsidRDefault="00DA1554" w:rsidP="00DA1554"/>
    <w:p w:rsidR="00DA1554" w:rsidRDefault="00DA1554" w:rsidP="00DA1554">
      <w:r w:rsidRPr="00DA1554">
        <w:t xml:space="preserve">Elie Wiesel – </w:t>
      </w:r>
      <w:r w:rsidRPr="00DA1554">
        <w:rPr>
          <w:i/>
          <w:iCs/>
        </w:rPr>
        <w:t xml:space="preserve">Le donne bollivano uova, arrostivano carne, preparavano dolci, confezionavano sacchi: i bambini vagavano un po’ dappertutto, con la testa bassa </w:t>
      </w:r>
      <w:r w:rsidRPr="00DA1554">
        <w:t>[…]. (pag. 22)</w:t>
      </w:r>
    </w:p>
    <w:p w:rsidR="00DA1554" w:rsidRPr="00DA1554" w:rsidRDefault="00DA1554" w:rsidP="00DA1554"/>
    <w:p w:rsidR="00DA1554" w:rsidRPr="00DA1554" w:rsidRDefault="00DA1554" w:rsidP="00DA1554">
      <w:pPr>
        <w:rPr>
          <w:b/>
          <w:bCs/>
        </w:rPr>
      </w:pPr>
      <w:r w:rsidRPr="00DA1554">
        <w:rPr>
          <w:b/>
          <w:bCs/>
        </w:rPr>
        <w:t>La partenza</w:t>
      </w:r>
    </w:p>
    <w:p w:rsidR="00DA1554" w:rsidRPr="00DA1554" w:rsidRDefault="00DA1554" w:rsidP="00DA1554">
      <w:pPr>
        <w:rPr>
          <w:i/>
          <w:iCs/>
        </w:rPr>
      </w:pPr>
      <w:r w:rsidRPr="00DA1554">
        <w:t xml:space="preserve">Primo Levi – </w:t>
      </w:r>
      <w:r w:rsidRPr="00DA1554">
        <w:rPr>
          <w:i/>
          <w:iCs/>
        </w:rPr>
        <w:t>L’alba ci colse come un tradimento […] I diversi sentimenti che si agitavano in noi di consapevole accettazione …</w:t>
      </w:r>
    </w:p>
    <w:p w:rsidR="00DA1554" w:rsidRPr="00DA1554" w:rsidRDefault="00DA1554" w:rsidP="00DA1554">
      <w:r w:rsidRPr="00DA1554">
        <w:rPr>
          <w:i/>
          <w:iCs/>
        </w:rPr>
        <w:t xml:space="preserve">confluivano ormai, dopo la notte insonne, in una incontrollata follia. </w:t>
      </w:r>
      <w:r w:rsidRPr="00DA1554">
        <w:t>(pag.14)</w:t>
      </w:r>
    </w:p>
    <w:p w:rsidR="00DA1554" w:rsidRPr="00DA1554" w:rsidRDefault="00DA1554" w:rsidP="00DA1554"/>
    <w:p w:rsidR="00DA1554" w:rsidRPr="00DA1554" w:rsidRDefault="00DA1554" w:rsidP="00DA1554"/>
    <w:p w:rsidR="00DA1554" w:rsidRDefault="00DA1554" w:rsidP="00DA1554">
      <w:r w:rsidRPr="00DA1554">
        <w:t xml:space="preserve">Elie Wiesel – </w:t>
      </w:r>
      <w:r w:rsidRPr="00DA1554">
        <w:rPr>
          <w:i/>
          <w:iCs/>
        </w:rPr>
        <w:t>Infine, all’una, venne dato il segnale di partenza. Ci fu della gioia, sì, della gioia. Pensavamo senza dubbio che non c’era sofferenza più grande nell’inferno di Dio che quella di restare lì seduti […] e che poi tutto sarebbe stato meglio in confronto a ciò</w:t>
      </w:r>
      <w:r w:rsidRPr="00DA1554">
        <w:t>. (pag.23)</w:t>
      </w:r>
    </w:p>
    <w:p w:rsidR="00DA1554" w:rsidRPr="00DA1554" w:rsidRDefault="00DA1554" w:rsidP="00DA1554"/>
    <w:p w:rsidR="00DA1554" w:rsidRPr="00DA1554" w:rsidRDefault="00DA1554" w:rsidP="00DA1554">
      <w:pPr>
        <w:rPr>
          <w:u w:val="thick"/>
        </w:rPr>
      </w:pPr>
      <w:r w:rsidRPr="00DA1554">
        <w:rPr>
          <w:b/>
          <w:bCs/>
        </w:rPr>
        <w:t>La stazione: un nome</w:t>
      </w:r>
    </w:p>
    <w:p w:rsidR="00DA1554" w:rsidRPr="00DA1554" w:rsidRDefault="00DA1554" w:rsidP="00DA1554">
      <w:r w:rsidRPr="00DA1554">
        <w:t xml:space="preserve">Primo Levi – </w:t>
      </w:r>
      <w:r w:rsidRPr="00DA1554">
        <w:rPr>
          <w:i/>
          <w:iCs/>
        </w:rPr>
        <w:t>Avevamo appreso con sollievo la nostra destinazione, Auschwitz, un nome privo di significato allora e per noi ma doveva pur corrispondere a un luogo di questa terra</w:t>
      </w:r>
      <w:r w:rsidRPr="00DA1554">
        <w:t>. (pag.15)</w:t>
      </w:r>
    </w:p>
    <w:p w:rsidR="00DA1554" w:rsidRPr="00DA1554" w:rsidRDefault="00DA1554" w:rsidP="00DA1554"/>
    <w:p w:rsidR="00DA1554" w:rsidRDefault="00DA1554" w:rsidP="00DA1554">
      <w:r w:rsidRPr="00DA1554">
        <w:t xml:space="preserve">Elie Wiesel – </w:t>
      </w:r>
      <w:r w:rsidRPr="00DA1554">
        <w:rPr>
          <w:i/>
          <w:iCs/>
        </w:rPr>
        <w:t>Ma si arrivò in una stazione. Chi si trovava vicino alle finestre ce ne disse il nome: – Auschwitz. Nessuno l’aveva mai sentito dire.</w:t>
      </w:r>
      <w:r w:rsidRPr="00DA1554">
        <w:t xml:space="preserve"> (pag. 33)</w:t>
      </w:r>
    </w:p>
    <w:p w:rsidR="00DA1554" w:rsidRDefault="00DA1554" w:rsidP="00DA1554"/>
    <w:p w:rsidR="00DA1554" w:rsidRDefault="00DA1554" w:rsidP="00DA1554"/>
    <w:p w:rsidR="00DA1554" w:rsidRDefault="00DA1554" w:rsidP="00DA1554"/>
    <w:p w:rsidR="00DA1554" w:rsidRPr="00DA1554" w:rsidRDefault="00DA1554" w:rsidP="00DA1554"/>
    <w:p w:rsidR="00DA1554" w:rsidRPr="00DA1554" w:rsidRDefault="00DA1554" w:rsidP="00DA1554">
      <w:pPr>
        <w:rPr>
          <w:u w:val="thick"/>
        </w:rPr>
      </w:pPr>
      <w:r w:rsidRPr="00DA1554">
        <w:rPr>
          <w:b/>
          <w:bCs/>
        </w:rPr>
        <w:t>L’arrivo e la selezione</w:t>
      </w:r>
    </w:p>
    <w:p w:rsidR="00DA1554" w:rsidRPr="00DA1554" w:rsidRDefault="00DA1554" w:rsidP="00DA1554">
      <w:r w:rsidRPr="00DA1554">
        <w:t xml:space="preserve">Primo Levi – </w:t>
      </w:r>
      <w:r w:rsidRPr="00DA1554">
        <w:rPr>
          <w:i/>
          <w:iCs/>
        </w:rPr>
        <w:t>Così morì Emilia, che aveva tre anni […] Scomparvero così, in un istante, a tradimento, le nostre donne, o nostri genitori, i nostri figli</w:t>
      </w:r>
      <w:r w:rsidRPr="00DA1554">
        <w:t>. (pag.17)</w:t>
      </w:r>
    </w:p>
    <w:p w:rsidR="00DA1554" w:rsidRPr="00DA1554" w:rsidRDefault="00DA1554" w:rsidP="00DA1554"/>
    <w:p w:rsidR="00DA1554" w:rsidRPr="00DA1554" w:rsidRDefault="00DA1554" w:rsidP="00DA1554">
      <w:r w:rsidRPr="00DA1554">
        <w:t xml:space="preserve">Elie Wiesel – </w:t>
      </w:r>
      <w:r w:rsidRPr="00DA1554">
        <w:rPr>
          <w:i/>
          <w:iCs/>
        </w:rPr>
        <w:t>Uomini a destra! Donne a sinistra ![…] E non sapevo certo che in quel luogo, in quell’istante, io abbandonavo mia madre e Zippora per sempre</w:t>
      </w:r>
      <w:r w:rsidRPr="00DA1554">
        <w:t>. (pag. 35)</w:t>
      </w:r>
    </w:p>
    <w:p w:rsidR="00DA1554" w:rsidRPr="00DA1554" w:rsidRDefault="00DA1554" w:rsidP="00DA1554">
      <w:pPr>
        <w:rPr>
          <w:u w:val="thick"/>
        </w:rPr>
      </w:pPr>
      <w:r w:rsidRPr="00DA1554">
        <w:rPr>
          <w:b/>
          <w:bCs/>
        </w:rPr>
        <w:t>Eroismi solitari</w:t>
      </w:r>
    </w:p>
    <w:p w:rsidR="00DA1554" w:rsidRPr="00DA1554" w:rsidRDefault="00DA1554" w:rsidP="00DA1554">
      <w:r w:rsidRPr="00DA1554">
        <w:t xml:space="preserve">Primo Levi – </w:t>
      </w:r>
      <w:r w:rsidRPr="00DA1554">
        <w:rPr>
          <w:i/>
          <w:iCs/>
        </w:rPr>
        <w:t>L’uomo che morrà oggi davanti a noi ha preso parte in qualche modo alla rivolta.[…] Morrà oggi sotto i nostri occhi: e forse i tedeschi non comprenderanno che la morte solitaria, la morte di uomo che gli è stata riservata, gli frutterà gloria e non infamia</w:t>
      </w:r>
      <w:r w:rsidRPr="00DA1554">
        <w:t>. (pag. 133)</w:t>
      </w:r>
    </w:p>
    <w:p w:rsidR="00DA1554" w:rsidRPr="00DA1554" w:rsidRDefault="00DA1554" w:rsidP="00DA1554"/>
    <w:p w:rsidR="00DA1554" w:rsidRDefault="00DA1554" w:rsidP="00DA1554">
      <w:r w:rsidRPr="00DA1554">
        <w:t xml:space="preserve">Elie Wiesel – </w:t>
      </w:r>
      <w:r w:rsidRPr="00DA1554">
        <w:rPr>
          <w:i/>
          <w:iCs/>
        </w:rPr>
        <w:t xml:space="preserve">Dopo un lungo attimo di attesa il boia gli mise la corda intorno al collo e stava per far segno ai suoi aiutanti di togliergli la seggiola di sotto i piedi, quando il condannato si mise a urlare, con voce forte e calma. – Viva la libertà! Maledico la Germania! Maledico! Male … </w:t>
      </w:r>
      <w:r w:rsidRPr="00DA1554">
        <w:t>(pag. 65)</w:t>
      </w:r>
    </w:p>
    <w:sectPr w:rsidR="00DA1554" w:rsidSect="000C1D7B">
      <w:footerReference w:type="even" r:id="rId7"/>
      <w:footerReference w:type="default" r:id="rId8"/>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554" w:rsidRDefault="00DA1554" w:rsidP="00DA1554">
      <w:r>
        <w:separator/>
      </w:r>
    </w:p>
  </w:endnote>
  <w:endnote w:type="continuationSeparator" w:id="0">
    <w:p w:rsidR="00DA1554" w:rsidRDefault="00DA1554" w:rsidP="00DA1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54" w:rsidRDefault="00DA1554" w:rsidP="0047616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DA1554" w:rsidRDefault="00DA1554" w:rsidP="00DA1554">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554" w:rsidRDefault="00DA1554" w:rsidP="00476161">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DA1554" w:rsidRDefault="00DA1554" w:rsidP="00DA1554">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554" w:rsidRDefault="00DA1554" w:rsidP="00DA1554">
      <w:r>
        <w:separator/>
      </w:r>
    </w:p>
  </w:footnote>
  <w:footnote w:type="continuationSeparator" w:id="0">
    <w:p w:rsidR="00DA1554" w:rsidRDefault="00DA1554" w:rsidP="00DA1554">
      <w:r>
        <w:continuationSeparator/>
      </w:r>
    </w:p>
  </w:footnote>
  <w:footnote w:id="1">
    <w:p w:rsidR="00DA1554" w:rsidRDefault="00DA1554" w:rsidP="00DA1554">
      <w:r>
        <w:rPr>
          <w:vertAlign w:val="superscript"/>
        </w:rPr>
        <w:footnoteRef/>
      </w:r>
      <w:r>
        <w:tab/>
        <w:t xml:space="preserve">P. Levi, </w:t>
      </w:r>
      <w:r>
        <w:rPr>
          <w:rFonts w:ascii="HelveticaNeue-LightCondObl" w:hAnsi="HelveticaNeue-LightCondObl" w:cs="HelveticaNeue-LightCondObl"/>
          <w:i/>
          <w:iCs/>
        </w:rPr>
        <w:t>Se questo è un uom</w:t>
      </w:r>
      <w:r>
        <w:t xml:space="preserve">o, Einaudi, Torino 2005, pag 7. </w:t>
      </w:r>
    </w:p>
    <w:p w:rsidR="00DA1554" w:rsidRDefault="00DA1554" w:rsidP="00DA1554"/>
  </w:footnote>
  <w:footnote w:id="2">
    <w:p w:rsidR="00DA1554" w:rsidRDefault="00DA1554" w:rsidP="00DA1554">
      <w:r>
        <w:rPr>
          <w:vertAlign w:val="superscript"/>
        </w:rPr>
        <w:footnoteRef/>
      </w:r>
      <w:r>
        <w:tab/>
        <w:t xml:space="preserve">Dall’ebraico </w:t>
      </w:r>
      <w:r>
        <w:rPr>
          <w:rFonts w:ascii="HelveticaNeue-LightCondObl" w:hAnsi="HelveticaNeue-LightCondObl" w:cs="HelveticaNeue-LightCondObl"/>
          <w:i/>
          <w:iCs/>
        </w:rPr>
        <w:t>qabalà</w:t>
      </w:r>
      <w:r>
        <w:t xml:space="preserve"> (tradizione), termine che indica l’insieme della tradizione mistica e allegorica ebraica.</w:t>
      </w:r>
    </w:p>
    <w:p w:rsidR="00DA1554" w:rsidRDefault="00DA1554" w:rsidP="00DA1554"/>
  </w:footnote>
  <w:footnote w:id="3">
    <w:p w:rsidR="00DA1554" w:rsidRDefault="00DA1554" w:rsidP="00DA1554">
      <w:r>
        <w:rPr>
          <w:vertAlign w:val="superscript"/>
        </w:rPr>
        <w:footnoteRef/>
      </w:r>
      <w:r>
        <w:tab/>
        <w:t xml:space="preserve"> E. Wiesel, </w:t>
      </w:r>
      <w:r>
        <w:rPr>
          <w:rFonts w:ascii="HelveticaNeue-LightCondObl" w:hAnsi="HelveticaNeue-LightCondObl" w:cs="HelveticaNeue-LightCondObl"/>
          <w:i/>
          <w:iCs/>
        </w:rPr>
        <w:t>La Notte</w:t>
      </w:r>
      <w:r>
        <w:t xml:space="preserve">, Giuntina, Firenze 1980, pag.11. </w:t>
      </w:r>
    </w:p>
    <w:p w:rsidR="00DA1554" w:rsidRDefault="00DA1554" w:rsidP="00DA1554"/>
  </w:footnote>
  <w:footnote w:id="4">
    <w:p w:rsidR="00DA1554" w:rsidRDefault="00DA1554" w:rsidP="00DA1554">
      <w:r>
        <w:rPr>
          <w:vertAlign w:val="superscript"/>
        </w:rPr>
        <w:footnoteRef/>
      </w:r>
      <w:r>
        <w:tab/>
        <w:t xml:space="preserve">E. Wiesel, </w:t>
      </w:r>
      <w:r>
        <w:rPr>
          <w:rFonts w:ascii="HelveticaNeue-LightCondObl" w:hAnsi="HelveticaNeue-LightCondObl" w:cs="HelveticaNeue-LightCondObl"/>
          <w:i/>
          <w:iCs/>
        </w:rPr>
        <w:t>op. cit</w:t>
      </w:r>
      <w:r>
        <w:t xml:space="preserve">., pag. 11. </w:t>
      </w:r>
      <w:r>
        <w:rPr>
          <w:rFonts w:ascii="HelveticaNeue-LightCondObl" w:hAnsi="HelveticaNeue-LightCondObl" w:cs="HelveticaNeue-LightCondObl"/>
          <w:i/>
          <w:iCs/>
        </w:rPr>
        <w:t>Shammash</w:t>
      </w:r>
      <w:r>
        <w:t xml:space="preserve"> in ebraico significa inserviente, addetto alla sinagoga.</w:t>
      </w:r>
    </w:p>
    <w:p w:rsidR="00DA1554" w:rsidRDefault="00DA1554" w:rsidP="00DA1554"/>
  </w:footnote>
  <w:footnote w:id="5">
    <w:p w:rsidR="00DA1554" w:rsidRDefault="00DA1554" w:rsidP="00DA1554">
      <w:r>
        <w:rPr>
          <w:vertAlign w:val="superscript"/>
        </w:rPr>
        <w:footnoteRef/>
      </w:r>
      <w:r>
        <w:tab/>
        <w:t xml:space="preserve">P.Levi, </w:t>
      </w:r>
      <w:r>
        <w:rPr>
          <w:rFonts w:ascii="HelveticaNeue-LightCondObl" w:hAnsi="HelveticaNeue-LightCondObl" w:cs="HelveticaNeue-LightCondObl"/>
          <w:i/>
          <w:iCs/>
        </w:rPr>
        <w:t>op. cit</w:t>
      </w:r>
      <w:r>
        <w:t xml:space="preserve">., pag 12. </w:t>
      </w:r>
    </w:p>
    <w:p w:rsidR="00DA1554" w:rsidRDefault="00DA1554" w:rsidP="00DA1554"/>
  </w:footnote>
  <w:footnote w:id="6">
    <w:p w:rsidR="00DA1554" w:rsidRDefault="00DA1554" w:rsidP="00DA1554">
      <w:r>
        <w:rPr>
          <w:vertAlign w:val="superscript"/>
        </w:rPr>
        <w:footnoteRef/>
      </w:r>
      <w:r>
        <w:tab/>
        <w:t xml:space="preserve">E. Wiesel, </w:t>
      </w:r>
      <w:r>
        <w:rPr>
          <w:rFonts w:ascii="HelveticaNeue-LightCondObl" w:hAnsi="HelveticaNeue-LightCondObl" w:cs="HelveticaNeue-LightCondObl"/>
          <w:i/>
          <w:iCs/>
        </w:rPr>
        <w:t>op. cit</w:t>
      </w:r>
      <w:r>
        <w:t xml:space="preserve">., pag. 39. </w:t>
      </w:r>
    </w:p>
    <w:p w:rsidR="00DA1554" w:rsidRDefault="00DA1554" w:rsidP="00DA1554"/>
  </w:footnote>
  <w:footnote w:id="7">
    <w:p w:rsidR="00DA1554" w:rsidRDefault="00DA1554" w:rsidP="00DA1554">
      <w:r>
        <w:rPr>
          <w:vertAlign w:val="superscript"/>
        </w:rPr>
        <w:footnoteRef/>
      </w:r>
      <w:r>
        <w:tab/>
        <w:t xml:space="preserve">E.Wiesel, </w:t>
      </w:r>
      <w:r>
        <w:rPr>
          <w:rFonts w:ascii="HelveticaNeue-LightCondObl" w:hAnsi="HelveticaNeue-LightCondObl" w:cs="HelveticaNeue-LightCondObl"/>
          <w:i/>
          <w:iCs/>
        </w:rPr>
        <w:t>op. cit</w:t>
      </w:r>
      <w:r>
        <w:t xml:space="preserve">., pag. 38. </w:t>
      </w:r>
    </w:p>
    <w:p w:rsidR="00DA1554" w:rsidRDefault="00DA1554" w:rsidP="00DA1554"/>
  </w:footnote>
  <w:footnote w:id="8">
    <w:p w:rsidR="00DA1554" w:rsidRDefault="00DA1554" w:rsidP="00DA1554">
      <w:r>
        <w:rPr>
          <w:vertAlign w:val="superscript"/>
        </w:rPr>
        <w:footnoteRef/>
      </w:r>
      <w:r>
        <w:tab/>
        <w:t xml:space="preserve">E. Wiesel, </w:t>
      </w:r>
      <w:r>
        <w:rPr>
          <w:rFonts w:ascii="HelveticaNeue-LightCondObl" w:hAnsi="HelveticaNeue-LightCondObl" w:cs="HelveticaNeue-LightCondObl"/>
          <w:i/>
          <w:iCs/>
        </w:rPr>
        <w:t>La souffrance de Dieu</w:t>
      </w:r>
      <w:r>
        <w:t xml:space="preserve">, in </w:t>
      </w:r>
      <w:r>
        <w:rPr>
          <w:rFonts w:ascii="HelveticaNeue-LightCondObl" w:hAnsi="HelveticaNeue-LightCondObl" w:cs="HelveticaNeue-LightCondObl"/>
          <w:i/>
          <w:iCs/>
        </w:rPr>
        <w:t>Présence d’Elie Wiesel</w:t>
      </w:r>
      <w:r>
        <w:t xml:space="preserve"> (</w:t>
      </w:r>
      <w:r>
        <w:rPr>
          <w:rFonts w:ascii="HelveticaNeue-LightCondObl" w:hAnsi="HelveticaNeue-LightCondObl" w:cs="HelveticaNeue-LightCondObl"/>
          <w:i/>
          <w:iCs/>
        </w:rPr>
        <w:t>Labor et Fides</w:t>
      </w:r>
      <w:r>
        <w:t xml:space="preserve">, Genève 1990), pag. 10. </w:t>
      </w:r>
    </w:p>
    <w:p w:rsidR="00DA1554" w:rsidRDefault="00DA1554" w:rsidP="00DA1554"/>
  </w:footnote>
  <w:footnote w:id="9">
    <w:p w:rsidR="00DA1554" w:rsidRDefault="00DA1554" w:rsidP="00DA1554">
      <w:r>
        <w:rPr>
          <w:vertAlign w:val="superscript"/>
        </w:rPr>
        <w:footnoteRef/>
      </w:r>
      <w:r>
        <w:tab/>
        <w:t xml:space="preserve">P.Levi, </w:t>
      </w:r>
      <w:r>
        <w:rPr>
          <w:rFonts w:ascii="HelveticaNeue-LightCondObl" w:hAnsi="HelveticaNeue-LightCondObl" w:cs="HelveticaNeue-LightCondObl"/>
          <w:i/>
          <w:iCs/>
        </w:rPr>
        <w:t>op. cit.</w:t>
      </w:r>
      <w:r>
        <w:t xml:space="preserve">, pag. 11. </w:t>
      </w:r>
    </w:p>
    <w:p w:rsidR="00DA1554" w:rsidRDefault="00DA1554" w:rsidP="00DA1554"/>
  </w:footnote>
  <w:footnote w:id="10">
    <w:p w:rsidR="00DA1554" w:rsidRDefault="00DA1554" w:rsidP="00DA1554">
      <w:r>
        <w:rPr>
          <w:vertAlign w:val="superscript"/>
        </w:rPr>
        <w:footnoteRef/>
      </w:r>
      <w:r>
        <w:tab/>
        <w:t xml:space="preserve">Tra l’estate e l’autunno del 1938, vennero firmati da Benito Mussolini, come capo del Governo, diversi decreti che il 17 novembre diventarono legge dello Stato, promulgati dal re Vittorio Emanuele III. </w:t>
      </w:r>
    </w:p>
    <w:p w:rsidR="00DA1554" w:rsidRDefault="00DA1554" w:rsidP="00DA1554"/>
  </w:footnote>
  <w:footnote w:id="11">
    <w:p w:rsidR="00DA1554" w:rsidRDefault="00DA1554" w:rsidP="00DA1554">
      <w:r>
        <w:rPr>
          <w:vertAlign w:val="superscript"/>
        </w:rPr>
        <w:footnoteRef/>
      </w:r>
      <w:r>
        <w:tab/>
        <w:t xml:space="preserve">P.Levi, </w:t>
      </w:r>
      <w:r>
        <w:rPr>
          <w:rFonts w:ascii="HelveticaNeue-LightCondObl" w:hAnsi="HelveticaNeue-LightCondObl" w:cs="HelveticaNeue-LightCondObl"/>
          <w:i/>
          <w:iCs/>
        </w:rPr>
        <w:t>op. cit.</w:t>
      </w:r>
      <w:r>
        <w:t xml:space="preserve">, pag. 13. </w:t>
      </w:r>
    </w:p>
    <w:p w:rsidR="00DA1554" w:rsidRDefault="00DA1554" w:rsidP="00DA1554"/>
  </w:footnote>
  <w:footnote w:id="12">
    <w:p w:rsidR="00DA1554" w:rsidRDefault="00DA1554" w:rsidP="00DA1554">
      <w:r>
        <w:rPr>
          <w:vertAlign w:val="superscript"/>
        </w:rPr>
        <w:footnoteRef/>
      </w:r>
      <w:r>
        <w:tab/>
        <w:t xml:space="preserve">P. Levi, </w:t>
      </w:r>
      <w:r>
        <w:rPr>
          <w:rFonts w:ascii="HelveticaNeue-LightCondObl" w:hAnsi="HelveticaNeue-LightCondObl" w:cs="HelveticaNeue-LightCondObl"/>
          <w:i/>
          <w:iCs/>
        </w:rPr>
        <w:t>op. cit.</w:t>
      </w:r>
      <w:r>
        <w:t xml:space="preserve">, pag.116. </w:t>
      </w:r>
    </w:p>
    <w:p w:rsidR="00DA1554" w:rsidRDefault="00DA1554" w:rsidP="00DA1554"/>
  </w:footnote>
  <w:footnote w:id="13">
    <w:p w:rsidR="00DA1554" w:rsidRDefault="00DA1554" w:rsidP="00DA1554">
      <w:r>
        <w:rPr>
          <w:vertAlign w:val="superscript"/>
        </w:rPr>
        <w:footnoteRef/>
      </w:r>
      <w:r>
        <w:tab/>
        <w:t xml:space="preserve">P. Levi, </w:t>
      </w:r>
      <w:r>
        <w:rPr>
          <w:rFonts w:ascii="HelveticaNeue-LightCondObl" w:hAnsi="HelveticaNeue-LightCondObl" w:cs="HelveticaNeue-LightCondObl"/>
          <w:i/>
          <w:iCs/>
        </w:rPr>
        <w:t>op. cit.</w:t>
      </w:r>
      <w:r>
        <w:t xml:space="preserve">, pag. 140. </w:t>
      </w:r>
    </w:p>
    <w:p w:rsidR="00DA1554" w:rsidRDefault="00DA1554" w:rsidP="00DA1554"/>
  </w:footnote>
  <w:footnote w:id="14">
    <w:p w:rsidR="00DA1554" w:rsidRDefault="00DA1554" w:rsidP="00DA1554">
      <w:r>
        <w:rPr>
          <w:vertAlign w:val="superscript"/>
        </w:rPr>
        <w:footnoteRef/>
      </w:r>
      <w:r>
        <w:tab/>
        <w:t xml:space="preserve">E. Wiesel, </w:t>
      </w:r>
      <w:r>
        <w:rPr>
          <w:rFonts w:ascii="HelveticaNeue-LightCondObl" w:hAnsi="HelveticaNeue-LightCondObl" w:cs="HelveticaNeue-LightCondObl"/>
          <w:i/>
          <w:iCs/>
        </w:rPr>
        <w:t>La Notte</w:t>
      </w:r>
      <w:r>
        <w:t xml:space="preserve">, cit., pag. 38. </w:t>
      </w:r>
    </w:p>
    <w:p w:rsidR="00DA1554" w:rsidRDefault="00DA1554" w:rsidP="00DA1554"/>
  </w:footnote>
  <w:footnote w:id="15">
    <w:p w:rsidR="00DA1554" w:rsidRDefault="00DA1554" w:rsidP="00DA1554">
      <w:r>
        <w:rPr>
          <w:vertAlign w:val="superscript"/>
        </w:rPr>
        <w:footnoteRef/>
      </w:r>
      <w:r>
        <w:tab/>
        <w:t xml:space="preserve">E. Wiesel, </w:t>
      </w:r>
      <w:r>
        <w:rPr>
          <w:rFonts w:ascii="HelveticaNeue-LightCondObl" w:hAnsi="HelveticaNeue-LightCondObl" w:cs="HelveticaNeue-LightCondObl"/>
          <w:i/>
          <w:iCs/>
        </w:rPr>
        <w:t>op. cit.</w:t>
      </w:r>
      <w:r>
        <w:t>, pag. 44.</w:t>
      </w:r>
    </w:p>
    <w:p w:rsidR="00DA1554" w:rsidRDefault="00DA1554" w:rsidP="00DA1554"/>
  </w:footnote>
  <w:footnote w:id="16">
    <w:p w:rsidR="00DA1554" w:rsidRDefault="00DA1554" w:rsidP="00DA1554">
      <w:r>
        <w:rPr>
          <w:vertAlign w:val="superscript"/>
        </w:rPr>
        <w:footnoteRef/>
      </w:r>
      <w:r>
        <w:tab/>
        <w:t xml:space="preserve">P. Levi, </w:t>
      </w:r>
      <w:r>
        <w:rPr>
          <w:rFonts w:ascii="HelveticaNeue-LightCondObl" w:hAnsi="HelveticaNeue-LightCondObl" w:cs="HelveticaNeue-LightCondObl"/>
          <w:i/>
          <w:iCs/>
        </w:rPr>
        <w:t>op. cit.</w:t>
      </w:r>
      <w:r>
        <w:t xml:space="preserve">, pag. 31. </w:t>
      </w:r>
    </w:p>
    <w:p w:rsidR="00DA1554" w:rsidRDefault="00DA1554" w:rsidP="00DA1554"/>
  </w:footnote>
  <w:footnote w:id="17">
    <w:p w:rsidR="00DA1554" w:rsidRDefault="00DA1554" w:rsidP="00DA1554">
      <w:r>
        <w:rPr>
          <w:vertAlign w:val="superscript"/>
        </w:rPr>
        <w:footnoteRef/>
      </w:r>
      <w:r>
        <w:tab/>
        <w:t xml:space="preserve">P. Levi, </w:t>
      </w:r>
      <w:r>
        <w:rPr>
          <w:rFonts w:ascii="HelveticaNeue-LightCondObl" w:hAnsi="HelveticaNeue-LightCondObl" w:cs="HelveticaNeue-LightCondObl"/>
          <w:i/>
          <w:iCs/>
        </w:rPr>
        <w:t>op. cit.</w:t>
      </w:r>
      <w:r>
        <w:t xml:space="preserve">, pag. 80. </w:t>
      </w:r>
    </w:p>
    <w:p w:rsidR="00DA1554" w:rsidRDefault="00DA1554" w:rsidP="00DA1554"/>
  </w:footnote>
  <w:footnote w:id="18">
    <w:p w:rsidR="00DA1554" w:rsidRDefault="00DA1554" w:rsidP="00DA1554">
      <w:r>
        <w:rPr>
          <w:vertAlign w:val="superscript"/>
        </w:rPr>
        <w:footnoteRef/>
      </w:r>
      <w:r>
        <w:tab/>
        <w:t>E.Wiesel,</w:t>
      </w:r>
      <w:r>
        <w:rPr>
          <w:rFonts w:ascii="HelveticaNeue-LightCondObl" w:hAnsi="HelveticaNeue-LightCondObl" w:cs="HelveticaNeue-LightCondObl"/>
          <w:i/>
          <w:iCs/>
        </w:rPr>
        <w:t xml:space="preserve"> op. cit.</w:t>
      </w:r>
      <w:r>
        <w:t xml:space="preserve">, pag. 98. </w:t>
      </w:r>
    </w:p>
    <w:p w:rsidR="00DA1554" w:rsidRDefault="00DA1554" w:rsidP="00DA1554"/>
  </w:footnote>
  <w:footnote w:id="19">
    <w:p w:rsidR="00DA1554" w:rsidRDefault="00DA1554" w:rsidP="00DA1554">
      <w:r>
        <w:rPr>
          <w:vertAlign w:val="superscript"/>
        </w:rPr>
        <w:footnoteRef/>
      </w:r>
      <w:r>
        <w:tab/>
        <w:t xml:space="preserve">P.Levi, </w:t>
      </w:r>
      <w:r>
        <w:rPr>
          <w:rFonts w:ascii="HelveticaNeue-LightCondObl" w:hAnsi="HelveticaNeue-LightCondObl" w:cs="HelveticaNeue-LightCondObl"/>
          <w:i/>
          <w:iCs/>
        </w:rPr>
        <w:t>op. cit.</w:t>
      </w:r>
      <w:r>
        <w:t xml:space="preserve">, pag. 53. </w:t>
      </w:r>
    </w:p>
    <w:p w:rsidR="00DA1554" w:rsidRDefault="00DA1554" w:rsidP="00DA1554"/>
  </w:footnote>
  <w:footnote w:id="20">
    <w:p w:rsidR="00DA1554" w:rsidRDefault="00DA1554" w:rsidP="00DA1554">
      <w:r>
        <w:rPr>
          <w:vertAlign w:val="superscript"/>
        </w:rPr>
        <w:footnoteRef/>
      </w:r>
      <w:r>
        <w:tab/>
        <w:t xml:space="preserve">P.Levi, </w:t>
      </w:r>
      <w:r>
        <w:rPr>
          <w:rFonts w:ascii="HelveticaNeue-LightCondObl" w:hAnsi="HelveticaNeue-LightCondObl" w:cs="HelveticaNeue-LightCondObl"/>
          <w:i/>
          <w:iCs/>
        </w:rPr>
        <w:t>op. cit.</w:t>
      </w:r>
      <w:r>
        <w:t xml:space="preserve">, pag. 109. </w:t>
      </w:r>
    </w:p>
    <w:p w:rsidR="00DA1554" w:rsidRDefault="00DA1554" w:rsidP="00DA1554"/>
  </w:footnote>
  <w:footnote w:id="21">
    <w:p w:rsidR="00DA1554" w:rsidRDefault="00DA1554" w:rsidP="00DA1554">
      <w:r>
        <w:rPr>
          <w:vertAlign w:val="superscript"/>
        </w:rPr>
        <w:footnoteRef/>
      </w:r>
      <w:r>
        <w:tab/>
        <w:t xml:space="preserve">P. Levi, </w:t>
      </w:r>
      <w:r>
        <w:rPr>
          <w:rFonts w:ascii="HelveticaNeue-LightCondObl" w:hAnsi="HelveticaNeue-LightCondObl" w:cs="HelveticaNeue-LightCondObl"/>
          <w:i/>
          <w:iCs/>
        </w:rPr>
        <w:t>op. cit.</w:t>
      </w:r>
      <w:r>
        <w:t xml:space="preserve">, pag. 109. </w:t>
      </w:r>
    </w:p>
    <w:p w:rsidR="00DA1554" w:rsidRDefault="00DA1554" w:rsidP="00DA1554"/>
  </w:footnote>
  <w:footnote w:id="22">
    <w:p w:rsidR="00DA1554" w:rsidRDefault="00DA1554" w:rsidP="00DA1554">
      <w:r>
        <w:rPr>
          <w:vertAlign w:val="superscript"/>
        </w:rPr>
        <w:footnoteRef/>
      </w:r>
      <w:r>
        <w:tab/>
        <w:t xml:space="preserve">E.Wiesel, </w:t>
      </w:r>
      <w:r>
        <w:rPr>
          <w:rFonts w:ascii="HelveticaNeue-LightCondObl" w:hAnsi="HelveticaNeue-LightCondObl" w:cs="HelveticaNeue-LightCondObl"/>
          <w:i/>
          <w:iCs/>
        </w:rPr>
        <w:t>op. cit.</w:t>
      </w:r>
      <w:r>
        <w:t xml:space="preserve">, pag. 66. </w:t>
      </w:r>
    </w:p>
    <w:p w:rsidR="00DA1554" w:rsidRDefault="00DA1554" w:rsidP="00DA1554"/>
  </w:footnote>
  <w:footnote w:id="23">
    <w:p w:rsidR="00DA1554" w:rsidRDefault="00DA1554" w:rsidP="00DA1554">
      <w:r>
        <w:rPr>
          <w:vertAlign w:val="superscript"/>
        </w:rPr>
        <w:footnoteRef/>
      </w:r>
      <w:r>
        <w:tab/>
        <w:t xml:space="preserve">P.Levi, </w:t>
      </w:r>
      <w:r>
        <w:rPr>
          <w:rFonts w:ascii="HelveticaNeue-LightCondObl" w:hAnsi="HelveticaNeue-LightCondObl" w:cs="HelveticaNeue-LightCondObl"/>
          <w:i/>
          <w:iCs/>
        </w:rPr>
        <w:t>op. cit.</w:t>
      </w:r>
      <w:r>
        <w:t xml:space="preserve">, pag. 93. </w:t>
      </w:r>
    </w:p>
    <w:p w:rsidR="00DA1554" w:rsidRDefault="00DA1554" w:rsidP="00DA1554"/>
  </w:footnote>
  <w:footnote w:id="24">
    <w:p w:rsidR="00DA1554" w:rsidRDefault="00DA1554" w:rsidP="00DA1554">
      <w:r>
        <w:rPr>
          <w:vertAlign w:val="superscript"/>
        </w:rPr>
        <w:footnoteRef/>
      </w:r>
      <w:r>
        <w:tab/>
        <w:t xml:space="preserve">P. Levi, </w:t>
      </w:r>
      <w:r>
        <w:rPr>
          <w:rFonts w:ascii="HelveticaNeue-LightCondObl" w:hAnsi="HelveticaNeue-LightCondObl" w:cs="HelveticaNeue-LightCondObl"/>
          <w:i/>
          <w:iCs/>
        </w:rPr>
        <w:t>op. cit.</w:t>
      </w:r>
      <w:r>
        <w:t xml:space="preserve">, pag. 177. </w:t>
      </w:r>
    </w:p>
    <w:p w:rsidR="00DA1554" w:rsidRDefault="00DA1554" w:rsidP="00DA1554"/>
  </w:footnote>
  <w:footnote w:id="25">
    <w:p w:rsidR="00DA1554" w:rsidRDefault="00DA1554" w:rsidP="00DA1554">
      <w:r>
        <w:rPr>
          <w:vertAlign w:val="superscript"/>
        </w:rPr>
        <w:footnoteRef/>
      </w:r>
      <w:r>
        <w:tab/>
        <w:t xml:space="preserve">E. Wiesel, </w:t>
      </w:r>
      <w:r>
        <w:rPr>
          <w:rFonts w:ascii="HelveticaNeue-LightCondObl" w:hAnsi="HelveticaNeue-LightCondObl" w:cs="HelveticaNeue-LightCondObl"/>
          <w:i/>
          <w:iCs/>
        </w:rPr>
        <w:t>Credere o non credere</w:t>
      </w:r>
      <w:r>
        <w:t xml:space="preserve">, Giuntina, Firenze 1986, pag. 19. Titolo originale: </w:t>
      </w:r>
      <w:r>
        <w:rPr>
          <w:rFonts w:ascii="HelveticaNeue-LightCondObl" w:hAnsi="HelveticaNeue-LightCondObl" w:cs="HelveticaNeue-LightCondObl"/>
          <w:i/>
          <w:iCs/>
        </w:rPr>
        <w:t>Signes d’exode</w:t>
      </w:r>
      <w:r>
        <w:t xml:space="preserve">, Paris Grasset, 1985. Trad. Daniel Vogelmann. </w:t>
      </w:r>
    </w:p>
    <w:p w:rsidR="00DA1554" w:rsidRDefault="00DA1554" w:rsidP="00DA1554"/>
  </w:footnote>
  <w:footnote w:id="26">
    <w:p w:rsidR="00DA1554" w:rsidRDefault="00DA1554" w:rsidP="00DA1554">
      <w:r>
        <w:rPr>
          <w:vertAlign w:val="superscript"/>
        </w:rPr>
        <w:footnoteRef/>
      </w:r>
      <w:r>
        <w:tab/>
        <w:t>P. Levi,</w:t>
      </w:r>
      <w:r>
        <w:rPr>
          <w:rFonts w:ascii="HelveticaNeue-LightCondObl" w:hAnsi="HelveticaNeue-LightCondObl" w:cs="HelveticaNeue-LightCondObl"/>
          <w:i/>
          <w:iCs/>
        </w:rPr>
        <w:t xml:space="preserve"> I sommersi e i salvati</w:t>
      </w:r>
      <w:r>
        <w:t>, Einaudi, Torino 2007, pag.65.</w:t>
      </w:r>
    </w:p>
    <w:p w:rsidR="00DA1554" w:rsidRDefault="00DA1554" w:rsidP="00DA1554"/>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554"/>
    <w:rsid w:val="00A67858"/>
    <w:rsid w:val="00DA15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DA1554"/>
    <w:pPr>
      <w:tabs>
        <w:tab w:val="center" w:pos="4819"/>
        <w:tab w:val="right" w:pos="9638"/>
      </w:tabs>
    </w:pPr>
  </w:style>
  <w:style w:type="character" w:customStyle="1" w:styleId="PidipaginaCarattere">
    <w:name w:val="Piè di pagina Carattere"/>
    <w:basedOn w:val="Caratterepredefinitoparagrafo"/>
    <w:link w:val="Pidipagina"/>
    <w:uiPriority w:val="99"/>
    <w:rsid w:val="00DA1554"/>
  </w:style>
  <w:style w:type="character" w:styleId="Numeropagina">
    <w:name w:val="page number"/>
    <w:basedOn w:val="Caratterepredefinitoparagrafo"/>
    <w:uiPriority w:val="99"/>
    <w:semiHidden/>
    <w:unhideWhenUsed/>
    <w:rsid w:val="00DA155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DA1554"/>
    <w:pPr>
      <w:tabs>
        <w:tab w:val="center" w:pos="4819"/>
        <w:tab w:val="right" w:pos="9638"/>
      </w:tabs>
    </w:pPr>
  </w:style>
  <w:style w:type="character" w:customStyle="1" w:styleId="PidipaginaCarattere">
    <w:name w:val="Piè di pagina Carattere"/>
    <w:basedOn w:val="Caratterepredefinitoparagrafo"/>
    <w:link w:val="Pidipagina"/>
    <w:uiPriority w:val="99"/>
    <w:rsid w:val="00DA1554"/>
  </w:style>
  <w:style w:type="character" w:styleId="Numeropagina">
    <w:name w:val="page number"/>
    <w:basedOn w:val="Caratterepredefinitoparagrafo"/>
    <w:uiPriority w:val="99"/>
    <w:semiHidden/>
    <w:unhideWhenUsed/>
    <w:rsid w:val="00DA15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3228</Words>
  <Characters>18405</Characters>
  <Application>Microsoft Macintosh Word</Application>
  <DocSecurity>0</DocSecurity>
  <Lines>153</Lines>
  <Paragraphs>43</Paragraphs>
  <ScaleCrop>false</ScaleCrop>
  <Company/>
  <LinksUpToDate>false</LinksUpToDate>
  <CharactersWithSpaces>21590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2013-03-06T09:10:00Z</dcterms:created>
  <dcterms:modified xsi:type="dcterms:W3CDTF">2013-03-06T09:16:00Z</dcterms:modified>
</cp:coreProperties>
</file>