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B5A682" w14:textId="77777777" w:rsidR="00960511" w:rsidRDefault="00960511" w:rsidP="00EE233E">
      <w:pPr>
        <w:pStyle w:val="0INTRODOCENTE"/>
      </w:pPr>
    </w:p>
    <w:p w14:paraId="26C1BF17" w14:textId="77777777" w:rsidR="00EE233E" w:rsidRDefault="00EE233E" w:rsidP="00EE233E">
      <w:pPr>
        <w:pStyle w:val="0INTRODOCENTE"/>
      </w:pPr>
      <w:r>
        <w:t xml:space="preserve">Marco Fossati ha insegnato storia e filosofia al Liceo classico “G. Berchet” di Milano. </w:t>
      </w:r>
      <w:r>
        <w:br/>
        <w:t>Per Edizioni Scolastiche Bruno Mondadori è autore di numerosi manuali di storia per le scuole superiori.</w:t>
      </w:r>
    </w:p>
    <w:p w14:paraId="71CCA48D" w14:textId="77777777" w:rsidR="00A67858" w:rsidRDefault="00A67858"/>
    <w:p w14:paraId="52D1B533" w14:textId="77777777" w:rsidR="00960511" w:rsidRDefault="00960511"/>
    <w:p w14:paraId="522148A8" w14:textId="77777777" w:rsidR="00EE233E" w:rsidRPr="00960511" w:rsidRDefault="00EE233E" w:rsidP="00EE233E">
      <w:pPr>
        <w:rPr>
          <w:sz w:val="36"/>
          <w:szCs w:val="36"/>
        </w:rPr>
      </w:pPr>
      <w:r w:rsidRPr="00960511">
        <w:rPr>
          <w:b/>
          <w:bCs/>
          <w:sz w:val="36"/>
          <w:szCs w:val="36"/>
        </w:rPr>
        <w:t>Profughi nel Mediterraneo</w:t>
      </w:r>
    </w:p>
    <w:p w14:paraId="61ED3AC8" w14:textId="77777777" w:rsidR="00EE233E" w:rsidRPr="00960511" w:rsidRDefault="00EE233E" w:rsidP="00EE233E">
      <w:pPr>
        <w:rPr>
          <w:b/>
          <w:bCs/>
          <w:sz w:val="36"/>
          <w:szCs w:val="36"/>
        </w:rPr>
      </w:pPr>
      <w:r w:rsidRPr="00960511">
        <w:rPr>
          <w:sz w:val="36"/>
          <w:szCs w:val="36"/>
        </w:rPr>
        <w:t xml:space="preserve">Da dove vengono, dove vanno </w:t>
      </w:r>
    </w:p>
    <w:p w14:paraId="64F4FE1E" w14:textId="77777777" w:rsidR="00EE233E" w:rsidRDefault="00EE233E"/>
    <w:p w14:paraId="25C5C195" w14:textId="77777777" w:rsidR="00960511" w:rsidRDefault="00960511"/>
    <w:p w14:paraId="2EA02E32" w14:textId="77777777" w:rsidR="00EE233E" w:rsidRPr="00EE233E" w:rsidRDefault="00EE233E" w:rsidP="00EE233E">
      <w:pPr>
        <w:rPr>
          <w:i/>
          <w:iCs/>
        </w:rPr>
      </w:pPr>
      <w:r w:rsidRPr="00EE233E">
        <w:rPr>
          <w:i/>
          <w:iCs/>
        </w:rPr>
        <w:t>Non si tratta di filantropia ma di diritto, e ospitalità significa quindi il diritto di uno straniero che arriva sul territorio altrui, di non essere trattato ostilmente.</w:t>
      </w:r>
      <w:r w:rsidRPr="00EE233E">
        <w:t xml:space="preserve"> […]</w:t>
      </w:r>
    </w:p>
    <w:p w14:paraId="52190F6D" w14:textId="77777777" w:rsidR="00EE233E" w:rsidRPr="00EE233E" w:rsidRDefault="00EE233E" w:rsidP="00EE233E">
      <w:pPr>
        <w:rPr>
          <w:i/>
          <w:iCs/>
        </w:rPr>
      </w:pPr>
      <w:r w:rsidRPr="00EE233E">
        <w:rPr>
          <w:i/>
          <w:iCs/>
        </w:rPr>
        <w:t>Non si tratta di un diritto di ospitalità, cui lo straniero può fare appello, ma di un diritto di visita spettante a tutti gli uomini, quello cioè di offrirsi alla socievolezza in virtù del diritto al possesso comune della superficie della terra, sulla quale, essendo sferica, gli uomini non possono disperdersi all’infinito, ma devono da ultimo tollerarsi nel vicinato, nessuno avendo in origine maggior diritto di un altro a una porzione determinata della terra.</w:t>
      </w:r>
    </w:p>
    <w:p w14:paraId="2671AB94" w14:textId="77777777" w:rsidR="00EE233E" w:rsidRPr="00EE233E" w:rsidRDefault="00EE233E" w:rsidP="00EE233E">
      <w:r w:rsidRPr="00EE233E">
        <w:t>Immanuel Kant, 1795</w:t>
      </w:r>
    </w:p>
    <w:p w14:paraId="71D02494" w14:textId="77777777" w:rsidR="00EE233E" w:rsidRDefault="00EE233E"/>
    <w:p w14:paraId="59183D79" w14:textId="77777777" w:rsidR="00EE233E" w:rsidRDefault="00EE233E"/>
    <w:p w14:paraId="11FB209A" w14:textId="77777777" w:rsidR="00EE233E" w:rsidRPr="00EE233E" w:rsidRDefault="00EE233E" w:rsidP="00EE233E">
      <w:pPr>
        <w:rPr>
          <w:b/>
          <w:bCs/>
        </w:rPr>
      </w:pPr>
      <w:r w:rsidRPr="00EE233E">
        <w:rPr>
          <w:b/>
          <w:bCs/>
        </w:rPr>
        <w:t>«La perfida barbarie... anela d’ogni intorno alle nostre frontiere»</w:t>
      </w:r>
    </w:p>
    <w:p w14:paraId="6A1E7F05" w14:textId="77777777" w:rsidR="00EE233E" w:rsidRPr="00EE233E" w:rsidRDefault="00EE233E" w:rsidP="00EE233E">
      <w:r w:rsidRPr="00EE233E">
        <w:t xml:space="preserve">Nell’estate del 1993 un articolo pubblicato sul quotidiano “la Repubblica” iniziava con queste parole di un anonimo cronista del IV secolo: «Innanzi tutto bisogna sapere che l’Impero romano trattiene dappertutto la rabbia delle nazioni che urlano intorno ad esso e che la perfida barbarie... anela d’ogni intorno alle nostre frontiere.» Giorgio Ruffolo, l’autore dell’articolo, notava che per molti suoi contemporanei la condizione dell’Occidente, alla vigilia del XXI secolo, non era molto diversa. E aggiungeva: </w:t>
      </w:r>
      <w:r w:rsidRPr="00EE233E">
        <w:rPr>
          <w:rtl/>
          <w:lang w:bidi="ar-YE"/>
        </w:rPr>
        <w:t>«</w:t>
      </w:r>
      <w:r w:rsidRPr="00EE233E">
        <w:t>L’analogia è quanto mai grossolana. I popoli che “premono” ai nostri confini sono, sì, incomparabilmente più numerosi, ma non possono certo essere considerati “barbari”, e non hanno di fronte un impero estenuato, ma un blocco di nazioni tecnologicamente, economicamente, militarmente potenti. Tuttavia, il baratro c’è, tra un miliardo di uomini che producono e consumano l’80% del prodotto mondiale e quattro miliardi (tra quarant’anni otto) che se ne dividono il 20%</w:t>
      </w:r>
      <w:r w:rsidRPr="00EE233E">
        <w:rPr>
          <w:rtl/>
          <w:lang w:bidi="ar-YE"/>
        </w:rPr>
        <w:t>»</w:t>
      </w:r>
      <w:r w:rsidRPr="00EE233E">
        <w:rPr>
          <w:i/>
          <w:iCs/>
        </w:rPr>
        <w:t xml:space="preserve"> </w:t>
      </w:r>
      <w:r w:rsidRPr="00EE233E">
        <w:t xml:space="preserve">(Giorgio Ruffolo, </w:t>
      </w:r>
      <w:r w:rsidRPr="00EE233E">
        <w:rPr>
          <w:i/>
          <w:iCs/>
        </w:rPr>
        <w:t xml:space="preserve">L’ultima maratona, </w:t>
      </w:r>
      <w:r w:rsidRPr="00EE233E">
        <w:t xml:space="preserve">la Repubblica, 20 agosto 1993). </w:t>
      </w:r>
    </w:p>
    <w:p w14:paraId="2EFBE32C" w14:textId="77777777" w:rsidR="00EE233E" w:rsidRPr="00EE233E" w:rsidRDefault="00EE233E" w:rsidP="00EE233E">
      <w:r w:rsidRPr="00EE233E">
        <w:t xml:space="preserve">Lo scenario così abbozzato all’inizio degli anni novanta </w:t>
      </w:r>
      <w:r w:rsidRPr="00EE233E">
        <w:rPr>
          <w:rtl/>
          <w:lang w:bidi="ar-YE"/>
        </w:rPr>
        <w:t xml:space="preserve">è ancora attuale: analogo il </w:t>
      </w:r>
      <w:r w:rsidRPr="00EE233E">
        <w:rPr>
          <w:b/>
          <w:bCs/>
        </w:rPr>
        <w:t>divario</w:t>
      </w:r>
      <w:r w:rsidRPr="00EE233E">
        <w:t xml:space="preserve"> che separa il mondo ricco dalla massa dei paesi poveri, analoga l’ansia che gli effetti di questo divario generano nei paesi ricchi. Ma la pressione osservata vent’anni fa ha, nel frattempo, rotto gli argini in più punti; sempre più spesso ci troviamo di fronte a persone in fuga che cercano rifugio sulla </w:t>
      </w:r>
      <w:r w:rsidRPr="00EE233E">
        <w:rPr>
          <w:b/>
          <w:bCs/>
        </w:rPr>
        <w:t>sponda settentrionale del Mediterraneo</w:t>
      </w:r>
      <w:r w:rsidRPr="00EE233E">
        <w:t>.</w:t>
      </w:r>
    </w:p>
    <w:p w14:paraId="1046C83C" w14:textId="77777777" w:rsidR="00EE233E" w:rsidRPr="00EE233E" w:rsidRDefault="00EE233E" w:rsidP="00EE233E"/>
    <w:p w14:paraId="067C5096" w14:textId="77777777" w:rsidR="00EE233E" w:rsidRPr="00EE233E" w:rsidRDefault="00EE233E" w:rsidP="00EE233E">
      <w:pPr>
        <w:rPr>
          <w:b/>
          <w:bCs/>
        </w:rPr>
      </w:pPr>
      <w:r w:rsidRPr="00EE233E">
        <w:rPr>
          <w:b/>
          <w:bCs/>
        </w:rPr>
        <w:t>Emigranti, profughi, rifugiati</w:t>
      </w:r>
    </w:p>
    <w:p w14:paraId="6A2C331A" w14:textId="77777777" w:rsidR="00EE233E" w:rsidRPr="00EE233E" w:rsidRDefault="00EE233E" w:rsidP="00EE233E">
      <w:r w:rsidRPr="00EE233E">
        <w:t xml:space="preserve">In linea di massima, ciascuno preferirebbe restare a casa propria. Chi decide di spostarsi, nella maggior parte dei casi, lo fa per </w:t>
      </w:r>
      <w:r w:rsidRPr="00EE233E">
        <w:rPr>
          <w:b/>
          <w:bCs/>
        </w:rPr>
        <w:t>necessità</w:t>
      </w:r>
      <w:r w:rsidRPr="00EE233E">
        <w:t xml:space="preserve">. La prima necessità è </w:t>
      </w:r>
      <w:r w:rsidRPr="00EE233E">
        <w:rPr>
          <w:b/>
          <w:bCs/>
        </w:rPr>
        <w:t>economica</w:t>
      </w:r>
      <w:r w:rsidRPr="00EE233E">
        <w:t xml:space="preserve">, come sanno anche molti giovani italiani che in questi anni incominciano (ma, in realtà, ricominciano) a cercare all’estero possibilità di lavoro. Quando, però, la motivazione economica assume la forma della morte per fame e, in generale, quando rimanere a casa mette a rischio la vita, allora la necessità di spostarsi diventa </w:t>
      </w:r>
      <w:r w:rsidRPr="00EE233E">
        <w:rPr>
          <w:b/>
          <w:bCs/>
        </w:rPr>
        <w:t>costrizione</w:t>
      </w:r>
      <w:r w:rsidRPr="00EE233E">
        <w:t xml:space="preserve">. Coloro che sono costretti a partire </w:t>
      </w:r>
      <w:r w:rsidRPr="00EE233E">
        <w:rPr>
          <w:b/>
          <w:bCs/>
        </w:rPr>
        <w:t>non sono più emigranti</w:t>
      </w:r>
      <w:r w:rsidRPr="00EE233E">
        <w:t xml:space="preserve">, ma </w:t>
      </w:r>
      <w:r w:rsidRPr="00EE233E">
        <w:rPr>
          <w:b/>
          <w:bCs/>
        </w:rPr>
        <w:t>profughi</w:t>
      </w:r>
      <w:r w:rsidRPr="00EE233E">
        <w:t>. Il diritto internazionale li definisce “</w:t>
      </w:r>
      <w:r w:rsidRPr="00EE233E">
        <w:rPr>
          <w:b/>
          <w:bCs/>
        </w:rPr>
        <w:t>richiedenti asilo</w:t>
      </w:r>
      <w:r w:rsidRPr="00EE233E">
        <w:t xml:space="preserve">” </w:t>
      </w:r>
      <w:r w:rsidRPr="00EE233E">
        <w:rPr>
          <w:i/>
          <w:iCs/>
        </w:rPr>
        <w:t>(asylum seeker)</w:t>
      </w:r>
      <w:r w:rsidRPr="00EE233E">
        <w:t xml:space="preserve">; poi, una volta che la loro richiesta è accolta, </w:t>
      </w:r>
      <w:r w:rsidRPr="00EE233E">
        <w:rPr>
          <w:b/>
          <w:bCs/>
        </w:rPr>
        <w:t>rifugiati</w:t>
      </w:r>
      <w:r w:rsidRPr="00EE233E">
        <w:t>.</w:t>
      </w:r>
    </w:p>
    <w:p w14:paraId="3CB15785" w14:textId="77777777" w:rsidR="00EE233E" w:rsidRPr="00EE233E" w:rsidRDefault="00EE233E" w:rsidP="00EE233E"/>
    <w:p w14:paraId="7A775271" w14:textId="77777777" w:rsidR="00EE233E" w:rsidRPr="00EE233E" w:rsidRDefault="00EE233E" w:rsidP="00EE233E">
      <w:pPr>
        <w:rPr>
          <w:b/>
          <w:bCs/>
        </w:rPr>
      </w:pPr>
      <w:r w:rsidRPr="00EE233E">
        <w:rPr>
          <w:b/>
          <w:bCs/>
        </w:rPr>
        <w:t>Il diritto al rifugio</w:t>
      </w:r>
    </w:p>
    <w:p w14:paraId="4EA2C40B" w14:textId="77777777" w:rsidR="00EE233E" w:rsidRPr="00EE233E" w:rsidRDefault="00EE233E" w:rsidP="00EE233E">
      <w:r w:rsidRPr="00EE233E">
        <w:t xml:space="preserve">La condizione dei rifugiati è tutelata dalla </w:t>
      </w:r>
      <w:r w:rsidRPr="00EE233E">
        <w:rPr>
          <w:b/>
          <w:bCs/>
        </w:rPr>
        <w:t>Convenzione di Ginevra del 1951</w:t>
      </w:r>
      <w:r w:rsidRPr="00EE233E">
        <w:t>, ratificata dall’Italia tre anni dopo, con la Legge n. 722 del 24 luglio 1954.</w:t>
      </w:r>
    </w:p>
    <w:p w14:paraId="5547B1BC" w14:textId="77777777" w:rsidR="00EE233E" w:rsidRPr="00EE233E" w:rsidRDefault="00EE233E" w:rsidP="00EE233E">
      <w:r w:rsidRPr="00EE233E">
        <w:lastRenderedPageBreak/>
        <w:t xml:space="preserve">Nel corso degli anni sono cambiate le condizioni che definiscono chi può rientrare nella </w:t>
      </w:r>
      <w:r w:rsidRPr="00EE233E">
        <w:rPr>
          <w:b/>
          <w:bCs/>
        </w:rPr>
        <w:t>categoria di rifugiato</w:t>
      </w:r>
      <w:r w:rsidRPr="00EE233E">
        <w:t xml:space="preserve">. Il profilo del rifugiato che sessant’anni fa si modellava principalmente sulla situazione creata dalla guerra mondiale appena terminata, oggi è infatti più articolato e comprende necessariamente le nuove ragioni che possono costringere una persona a fuggire dalla propria terra. Non è cambiato però il </w:t>
      </w:r>
      <w:r w:rsidRPr="00EE233E">
        <w:rPr>
          <w:b/>
          <w:bCs/>
        </w:rPr>
        <w:t>diritto</w:t>
      </w:r>
      <w:r w:rsidRPr="00EE233E">
        <w:t xml:space="preserve"> di questa persona a trovare accoglienza nei paesi in cui cerca rifugio e l’</w:t>
      </w:r>
      <w:r w:rsidRPr="00EE233E">
        <w:rPr>
          <w:b/>
          <w:bCs/>
        </w:rPr>
        <w:t>obbligo</w:t>
      </w:r>
      <w:r w:rsidRPr="00EE233E">
        <w:t xml:space="preserve"> di questi ultimi a fornirgliela. Le norme che tutelano la sua condizione sono infatti fra quelle che il diritto internazionale considera </w:t>
      </w:r>
      <w:r w:rsidRPr="00EE233E">
        <w:rPr>
          <w:b/>
          <w:bCs/>
          <w:i/>
          <w:iCs/>
        </w:rPr>
        <w:t>ius cogens</w:t>
      </w:r>
      <w:r w:rsidRPr="00EE233E">
        <w:t>, ovvero norme a cui non si può in nessun modo derogare.</w:t>
      </w:r>
    </w:p>
    <w:p w14:paraId="05DC28F6" w14:textId="77777777" w:rsidR="00EE233E" w:rsidRPr="00EE233E" w:rsidRDefault="00EE233E" w:rsidP="00EE233E">
      <w:pPr>
        <w:rPr>
          <w:b/>
          <w:bCs/>
        </w:rPr>
      </w:pPr>
    </w:p>
    <w:p w14:paraId="6A1C291A" w14:textId="77777777" w:rsidR="00EE233E" w:rsidRPr="00EE233E" w:rsidRDefault="00EE233E" w:rsidP="00EE233E">
      <w:pPr>
        <w:rPr>
          <w:b/>
          <w:bCs/>
        </w:rPr>
      </w:pPr>
      <w:r w:rsidRPr="00EE233E">
        <w:rPr>
          <w:b/>
          <w:bCs/>
        </w:rPr>
        <w:t>L’Alto Commissariato per i Rifugiati</w:t>
      </w:r>
    </w:p>
    <w:p w14:paraId="5561AC13" w14:textId="77777777" w:rsidR="00EE233E" w:rsidRPr="00EE233E" w:rsidRDefault="00EE233E" w:rsidP="00EE233E">
      <w:r w:rsidRPr="00EE233E">
        <w:t>La principale agenzia internazionale che si occupa dei rifugiati è l’</w:t>
      </w:r>
      <w:r w:rsidRPr="00EE233E">
        <w:rPr>
          <w:b/>
          <w:bCs/>
        </w:rPr>
        <w:t>Alto Commissariato delle Nazioni Unite per i Rifugiati</w:t>
      </w:r>
      <w:r w:rsidRPr="00EE233E">
        <w:t xml:space="preserve"> (</w:t>
      </w:r>
      <w:r w:rsidRPr="00EE233E">
        <w:rPr>
          <w:i/>
          <w:iCs/>
        </w:rPr>
        <w:t>United Nations High Commissioner for Refugees</w:t>
      </w:r>
      <w:r w:rsidRPr="00EE233E">
        <w:t xml:space="preserve">, UNHCR), fondato nel 1950 con l’ottimistica prospettiva di sciogliersi tre anni dopo. Oggi l’UNHCR si occupa di circa </w:t>
      </w:r>
      <w:r w:rsidRPr="00EE233E">
        <w:rPr>
          <w:b/>
          <w:bCs/>
        </w:rPr>
        <w:t>36 milioni</w:t>
      </w:r>
      <w:r w:rsidRPr="00EE233E">
        <w:t xml:space="preserve"> di persone in tutto il mondo. Bisogna però considerare che questa cifra si riferisce soltanto a quanti sono regolarmente censiti e non tiene conto dei moltissimi che, per varie ragioni, devono lasciare la propria casa, ma non vengono raggiunti dall’agenzia. L’UNHRC, nel suo ultimo rapporto (</w:t>
      </w:r>
      <w:hyperlink r:id="rId8" w:history="1">
        <w:r w:rsidRPr="00960511">
          <w:rPr>
            <w:rStyle w:val="Collegamentoipertestuale"/>
          </w:rPr>
          <w:t>http://unhcr.org/globaltrendsjune2013/</w:t>
        </w:r>
      </w:hyperlink>
      <w:r w:rsidRPr="00EE233E">
        <w:t xml:space="preserve">), calcola fossero complessivamente </w:t>
      </w:r>
      <w:r w:rsidRPr="00EE233E">
        <w:rPr>
          <w:b/>
          <w:bCs/>
        </w:rPr>
        <w:t>45,2 milioni</w:t>
      </w:r>
      <w:r w:rsidRPr="00EE233E">
        <w:t xml:space="preserve"> alla fine del 2012.</w:t>
      </w:r>
    </w:p>
    <w:p w14:paraId="1F1348BE" w14:textId="77777777" w:rsidR="00EE233E" w:rsidRPr="00EE233E" w:rsidRDefault="00EE233E" w:rsidP="00EE233E"/>
    <w:p w14:paraId="41DA73D2" w14:textId="77777777" w:rsidR="00EE233E" w:rsidRPr="00EE233E" w:rsidRDefault="00EE233E" w:rsidP="00EE233E">
      <w:pPr>
        <w:rPr>
          <w:b/>
          <w:bCs/>
        </w:rPr>
      </w:pPr>
      <w:r w:rsidRPr="00EE233E">
        <w:rPr>
          <w:b/>
          <w:bCs/>
        </w:rPr>
        <w:t>Le cause della fuga</w:t>
      </w:r>
    </w:p>
    <w:p w14:paraId="749A0E1C" w14:textId="77777777" w:rsidR="00EE233E" w:rsidRPr="00EE233E" w:rsidRDefault="00EE233E" w:rsidP="00EE233E">
      <w:r w:rsidRPr="00EE233E">
        <w:t xml:space="preserve">A parte il caso di chi, individualmente o in gruppo, abbandona la propria casa per sfuggire a </w:t>
      </w:r>
      <w:r w:rsidRPr="00EE233E">
        <w:rPr>
          <w:b/>
          <w:bCs/>
        </w:rPr>
        <w:t>persecuzioni politiche o religiose</w:t>
      </w:r>
      <w:r w:rsidRPr="00EE233E">
        <w:t xml:space="preserve">, i principali fattori che determinano la crescita nel flusso dei profughi sono le </w:t>
      </w:r>
      <w:r w:rsidRPr="00EE233E">
        <w:rPr>
          <w:b/>
          <w:bCs/>
        </w:rPr>
        <w:t>guerre</w:t>
      </w:r>
      <w:r w:rsidRPr="00EE233E">
        <w:t xml:space="preserve">, sia quelle con paesi confinanti sia, a maggior ragione, le </w:t>
      </w:r>
      <w:r w:rsidRPr="00EE233E">
        <w:rPr>
          <w:b/>
          <w:bCs/>
        </w:rPr>
        <w:t>guerre civili,</w:t>
      </w:r>
      <w:r w:rsidRPr="00EE233E">
        <w:t xml:space="preserve"> e i </w:t>
      </w:r>
      <w:r w:rsidRPr="00EE233E">
        <w:rPr>
          <w:b/>
          <w:bCs/>
        </w:rPr>
        <w:t>disastri ambientali</w:t>
      </w:r>
      <w:r w:rsidRPr="00EE233E">
        <w:t xml:space="preserve">. Così, per esempio, un massiccio spostamento di popolazioni in fuga si è verificato nei paesi della </w:t>
      </w:r>
      <w:r w:rsidRPr="00EE233E">
        <w:rPr>
          <w:b/>
          <w:bCs/>
        </w:rPr>
        <w:t>ex Iugoslavia</w:t>
      </w:r>
      <w:r w:rsidRPr="00EE233E">
        <w:t xml:space="preserve"> nel corso delle guerre fra il 1991 e il 1995, poi in Kosovo alla fine degli anni novanta, mentre è oggi costante l’allarme profughi nella regione del </w:t>
      </w:r>
      <w:r w:rsidRPr="00EE233E">
        <w:rPr>
          <w:b/>
          <w:bCs/>
          <w:i/>
          <w:iCs/>
        </w:rPr>
        <w:t>Sahel</w:t>
      </w:r>
      <w:r w:rsidRPr="00EE233E">
        <w:t xml:space="preserve">, la fascia dei territori africani ai confini meridionali del Sahara, una delle zone del mondo a più alto tasso di </w:t>
      </w:r>
      <w:r w:rsidRPr="00EE233E">
        <w:rPr>
          <w:b/>
          <w:bCs/>
        </w:rPr>
        <w:t>mortalità per fame</w:t>
      </w:r>
      <w:r w:rsidRPr="00EE233E">
        <w:t xml:space="preserve">. Spesso i fattori che abbiamo elencato si sommano. Vediamo di seguito </w:t>
      </w:r>
      <w:r w:rsidRPr="00EE233E">
        <w:rPr>
          <w:b/>
          <w:bCs/>
        </w:rPr>
        <w:t>tre casi significativi</w:t>
      </w:r>
      <w:r w:rsidRPr="00EE233E">
        <w:t xml:space="preserve"> da questo punto di vista.</w:t>
      </w:r>
    </w:p>
    <w:p w14:paraId="551C4BAC" w14:textId="77777777" w:rsidR="00EE233E" w:rsidRPr="00EE233E" w:rsidRDefault="00EE233E" w:rsidP="00EE233E"/>
    <w:p w14:paraId="398FD6EF" w14:textId="77777777" w:rsidR="00EE233E" w:rsidRPr="00EE233E" w:rsidRDefault="00EE233E" w:rsidP="00EE233E">
      <w:pPr>
        <w:rPr>
          <w:b/>
          <w:bCs/>
        </w:rPr>
      </w:pPr>
      <w:r w:rsidRPr="00EE233E">
        <w:rPr>
          <w:b/>
          <w:bCs/>
        </w:rPr>
        <w:t xml:space="preserve">Il caso del Mali: La guerra civile </w:t>
      </w:r>
    </w:p>
    <w:p w14:paraId="5E35534F" w14:textId="77777777" w:rsidR="00EE233E" w:rsidRPr="00EE233E" w:rsidRDefault="00EE233E" w:rsidP="00EE233E">
      <w:r w:rsidRPr="00EE233E">
        <w:t xml:space="preserve">Il primo caso significativo riguarda il </w:t>
      </w:r>
      <w:r w:rsidRPr="00EE233E">
        <w:rPr>
          <w:b/>
          <w:bCs/>
        </w:rPr>
        <w:t>Mali</w:t>
      </w:r>
      <w:r w:rsidRPr="00EE233E">
        <w:t xml:space="preserve">, paese periodicamente colpito da </w:t>
      </w:r>
      <w:r w:rsidRPr="00EE233E">
        <w:rPr>
          <w:b/>
          <w:bCs/>
        </w:rPr>
        <w:t>carestie</w:t>
      </w:r>
      <w:r w:rsidRPr="00EE233E">
        <w:t xml:space="preserve"> per siccità, dove nel 2012 è scoppiata una </w:t>
      </w:r>
      <w:r w:rsidRPr="00EE233E">
        <w:rPr>
          <w:b/>
          <w:bCs/>
        </w:rPr>
        <w:t>guerra civile</w:t>
      </w:r>
      <w:r w:rsidRPr="00EE233E">
        <w:t xml:space="preserve"> considerabile, sotto molti aspetti, un </w:t>
      </w:r>
      <w:r w:rsidRPr="00EE233E">
        <w:rPr>
          <w:b/>
          <w:bCs/>
        </w:rPr>
        <w:t>effetto secondario di quella libica</w:t>
      </w:r>
      <w:r w:rsidRPr="00EE233E">
        <w:t xml:space="preserve"> che nell’autunno del 2011 ha portato alla caduta di Gheddafi e alla sua uccisione. I </w:t>
      </w:r>
      <w:r w:rsidRPr="00EE233E">
        <w:rPr>
          <w:b/>
          <w:bCs/>
        </w:rPr>
        <w:t>tuareg</w:t>
      </w:r>
      <w:r w:rsidRPr="00EE233E">
        <w:t xml:space="preserve"> che vivono nel territorio sahariano fra Mali, Niger, Algeria e Libia avevano un rapporto privilegiato con il dittatore di Tripoli che amava presentare se stesso come un figlio delle genti nomadi del deserto. Alla fine del suo regime molte delle milizie che lo avevano sostenuto sono rifluite nelle zone desertiche ai confini meridionali della Libia portando con sé una grande quantità di armi, una parte delle quali è andata ad alimentare il movimento tuareg, il quale da tempo rivendicava </w:t>
      </w:r>
      <w:r w:rsidRPr="00EE233E">
        <w:rPr>
          <w:b/>
          <w:bCs/>
        </w:rPr>
        <w:t>l’indipendenza del Mali settentrionale</w:t>
      </w:r>
      <w:r w:rsidRPr="00EE233E">
        <w:t xml:space="preserve">. Nello sbandamento generale prodotto dal crollo del regime libico riprendevano intanto iniziativa anche alcuni gruppi affiliati alla rete del terrorismo fondamentalista musulmano, come </w:t>
      </w:r>
      <w:r w:rsidRPr="00EE233E">
        <w:rPr>
          <w:b/>
          <w:bCs/>
        </w:rPr>
        <w:t>Al Qaida nel Maghreb Islamico</w:t>
      </w:r>
      <w:r w:rsidRPr="00EE233E">
        <w:t xml:space="preserve">, un’organizzazione che riunisce residui dell’islamismo armato che ha insanguinato l’Algeria negli anni novanta. L’alleanza di questi variegati movimenti che l’esercito del Mali non riusciva a contrastare ha provocato prima </w:t>
      </w:r>
      <w:r w:rsidRPr="00EE233E">
        <w:rPr>
          <w:b/>
          <w:bCs/>
        </w:rPr>
        <w:t>un colpo di Stato</w:t>
      </w:r>
      <w:r w:rsidRPr="00EE233E">
        <w:t xml:space="preserve"> (marzo 2012) e poi l’</w:t>
      </w:r>
      <w:r w:rsidRPr="00EE233E">
        <w:rPr>
          <w:b/>
          <w:bCs/>
        </w:rPr>
        <w:t>intervento armato francese</w:t>
      </w:r>
      <w:r w:rsidRPr="00EE233E">
        <w:t xml:space="preserve"> a sostegno del Mali. Nel corso di queste vicende sia l’esercito del Mali sia i gruppi ribelli sono stati accusati di </w:t>
      </w:r>
      <w:r w:rsidRPr="00EE233E">
        <w:rPr>
          <w:b/>
          <w:bCs/>
        </w:rPr>
        <w:t>atrocità contro la popolazione civile</w:t>
      </w:r>
      <w:r w:rsidRPr="00EE233E">
        <w:t xml:space="preserve">. Conseguenza di tutto ciò sono i </w:t>
      </w:r>
      <w:r w:rsidRPr="00EE233E">
        <w:rPr>
          <w:b/>
          <w:bCs/>
        </w:rPr>
        <w:t>profughi</w:t>
      </w:r>
      <w:r w:rsidRPr="00EE233E">
        <w:t xml:space="preserve"> che all’inizio del 2013 erano 380 000 su una popolazione di 14 milioni e mezzo di abitanti.</w:t>
      </w:r>
    </w:p>
    <w:p w14:paraId="3EC9D84A" w14:textId="77777777" w:rsidR="00EE233E" w:rsidRPr="00EE233E" w:rsidRDefault="00EE233E" w:rsidP="00EE233E"/>
    <w:p w14:paraId="607B5982" w14:textId="77777777" w:rsidR="00EE233E" w:rsidRPr="00EE233E" w:rsidRDefault="00EE233E" w:rsidP="00EE233E">
      <w:pPr>
        <w:rPr>
          <w:b/>
          <w:bCs/>
        </w:rPr>
      </w:pPr>
      <w:r w:rsidRPr="00EE233E">
        <w:rPr>
          <w:b/>
          <w:bCs/>
        </w:rPr>
        <w:t>Il caso della Somalia: Un paese senza stato</w:t>
      </w:r>
    </w:p>
    <w:p w14:paraId="7725CD21" w14:textId="77777777" w:rsidR="00EE233E" w:rsidRPr="00EE233E" w:rsidRDefault="00EE233E" w:rsidP="00EE233E">
      <w:r w:rsidRPr="00EE233E">
        <w:t xml:space="preserve">Un altro paese del </w:t>
      </w:r>
      <w:r w:rsidRPr="00EE233E">
        <w:rPr>
          <w:i/>
          <w:iCs/>
        </w:rPr>
        <w:t>Sahel</w:t>
      </w:r>
      <w:r w:rsidRPr="00EE233E">
        <w:t xml:space="preserve"> che presenta una drammatica emergenza profughi è la Somalia, la cui tragica situazione è echeggiata nell’</w:t>
      </w:r>
      <w:r w:rsidRPr="00EE233E">
        <w:rPr>
          <w:b/>
          <w:bCs/>
        </w:rPr>
        <w:t>attacco terroristico al centro commerciale Westgate</w:t>
      </w:r>
      <w:r w:rsidRPr="00EE233E">
        <w:t xml:space="preserve"> di Nairobi lo scorso 21 settembre (2013). L’ex colonia italiana del Corno d’Africa è considerata un esempio di </w:t>
      </w:r>
      <w:r w:rsidRPr="00EE233E">
        <w:rPr>
          <w:b/>
          <w:bCs/>
        </w:rPr>
        <w:t>società senza Stato</w:t>
      </w:r>
      <w:r w:rsidRPr="00EE233E">
        <w:t xml:space="preserve">, data la sostanziale </w:t>
      </w:r>
      <w:r w:rsidRPr="00EE233E">
        <w:rPr>
          <w:b/>
          <w:bCs/>
        </w:rPr>
        <w:t>anarchia</w:t>
      </w:r>
      <w:r w:rsidRPr="00EE233E">
        <w:t xml:space="preserve"> che domina dall’inizio degli anni novanta e ancor più dopo il fallimentare </w:t>
      </w:r>
      <w:r w:rsidRPr="00EE233E">
        <w:rPr>
          <w:b/>
          <w:bCs/>
        </w:rPr>
        <w:t>intervento dell’ONU nel 1993</w:t>
      </w:r>
      <w:r w:rsidRPr="00EE233E">
        <w:t xml:space="preserve">. Negli anni successivi il paese è rimasto nelle mani di vari gruppi armati capeggiati da </w:t>
      </w:r>
      <w:r w:rsidRPr="00EE233E">
        <w:rPr>
          <w:b/>
          <w:bCs/>
        </w:rPr>
        <w:t>signori della guerra</w:t>
      </w:r>
      <w:r w:rsidRPr="00EE233E">
        <w:t xml:space="preserve"> in concorrenza fra loro, al cui potere si sono contrapposte nel 2006 le cosiddette </w:t>
      </w:r>
      <w:r w:rsidRPr="00EE233E">
        <w:rPr>
          <w:b/>
          <w:bCs/>
        </w:rPr>
        <w:t>Corti Islamiche</w:t>
      </w:r>
      <w:r w:rsidRPr="00EE233E">
        <w:t xml:space="preserve">, un raggruppamento politico religioso di impronta fondamentalista variamente collegato a organizzazioni </w:t>
      </w:r>
      <w:r w:rsidRPr="00EE233E">
        <w:rPr>
          <w:i/>
          <w:iCs/>
        </w:rPr>
        <w:t>jihadiste</w:t>
      </w:r>
      <w:r w:rsidRPr="00EE233E">
        <w:t xml:space="preserve"> della galassia di </w:t>
      </w:r>
      <w:r w:rsidRPr="00EE233E">
        <w:rPr>
          <w:b/>
          <w:bCs/>
        </w:rPr>
        <w:t>Al Qaida</w:t>
      </w:r>
      <w:r w:rsidRPr="00EE233E">
        <w:t xml:space="preserve">. L’ingresso di questo nuovo attore nel confuso scenario somalo ha ridestato l’inquietudine degli </w:t>
      </w:r>
      <w:r w:rsidRPr="00EE233E">
        <w:rPr>
          <w:b/>
          <w:bCs/>
        </w:rPr>
        <w:t>Stati Uniti</w:t>
      </w:r>
      <w:r w:rsidRPr="00EE233E">
        <w:t xml:space="preserve"> e ha attivato l’iniziativa di paesi come l’</w:t>
      </w:r>
      <w:r w:rsidRPr="00EE233E">
        <w:rPr>
          <w:b/>
          <w:bCs/>
        </w:rPr>
        <w:t>Etiopia</w:t>
      </w:r>
      <w:r w:rsidRPr="00EE233E">
        <w:t xml:space="preserve"> e il </w:t>
      </w:r>
      <w:r w:rsidRPr="00EE233E">
        <w:rPr>
          <w:b/>
          <w:bCs/>
        </w:rPr>
        <w:t>Kenia</w:t>
      </w:r>
      <w:r w:rsidRPr="00EE233E">
        <w:t xml:space="preserve">, preoccupati di veder crescere l’estremismo religioso ai propri confini. Attualmente, esiste un Governo federale somalo, istituito nel 2012, che gode del riconoscimento internazionale e che, con il sostegno delle truppe mandate dall’Unione Africana in missione di </w:t>
      </w:r>
      <w:r w:rsidRPr="00EE233E">
        <w:rPr>
          <w:i/>
          <w:iCs/>
        </w:rPr>
        <w:t>peacekeeping</w:t>
      </w:r>
      <w:r w:rsidRPr="00EE233E">
        <w:t xml:space="preserve">, cerca di fronteggiare i gruppi integralisti musulmani, fra i quali figura </w:t>
      </w:r>
      <w:r w:rsidRPr="00EE233E">
        <w:rPr>
          <w:b/>
          <w:bCs/>
        </w:rPr>
        <w:t>Al Shabaab</w:t>
      </w:r>
      <w:r w:rsidRPr="00EE233E">
        <w:t>, responsabile dell’attacco di settembre a Nairobi.</w:t>
      </w:r>
    </w:p>
    <w:p w14:paraId="003B6354" w14:textId="77777777" w:rsidR="00EE233E" w:rsidRPr="00EE233E" w:rsidRDefault="00EE233E" w:rsidP="00EE233E"/>
    <w:p w14:paraId="015E3635" w14:textId="77777777" w:rsidR="00EE233E" w:rsidRPr="00EE233E" w:rsidRDefault="00EE233E" w:rsidP="00EE233E">
      <w:pPr>
        <w:rPr>
          <w:b/>
          <w:bCs/>
        </w:rPr>
      </w:pPr>
      <w:r w:rsidRPr="00EE233E">
        <w:rPr>
          <w:b/>
          <w:bCs/>
        </w:rPr>
        <w:t xml:space="preserve">Il caso della Siria: Un conflitto politico </w:t>
      </w:r>
      <w:r w:rsidRPr="00EE233E">
        <w:rPr>
          <w:b/>
          <w:bCs/>
        </w:rPr>
        <w:br/>
        <w:t xml:space="preserve">e religioso in atto </w:t>
      </w:r>
    </w:p>
    <w:p w14:paraId="16523493" w14:textId="77777777" w:rsidR="00EE233E" w:rsidRPr="00EE233E" w:rsidRDefault="00EE233E" w:rsidP="00EE233E">
      <w:r w:rsidRPr="00EE233E">
        <w:t xml:space="preserve">Fra le aree che gravitano sul Mediterraneo nelle quali la popolazione civile si trova costretta alla fuga vi è il </w:t>
      </w:r>
      <w:r w:rsidRPr="00EE233E">
        <w:rPr>
          <w:b/>
          <w:bCs/>
        </w:rPr>
        <w:t>Medio Oriente</w:t>
      </w:r>
      <w:r w:rsidRPr="00EE233E">
        <w:t xml:space="preserve">, una regione fortemente instabile a causa di conflitti antichi e mai risolti, come quello fra lo </w:t>
      </w:r>
      <w:r w:rsidRPr="00EE233E">
        <w:rPr>
          <w:b/>
          <w:bCs/>
        </w:rPr>
        <w:t>Stato di Israele</w:t>
      </w:r>
      <w:r w:rsidRPr="00EE233E">
        <w:t xml:space="preserve"> e la </w:t>
      </w:r>
      <w:r w:rsidRPr="00EE233E">
        <w:rPr>
          <w:b/>
          <w:bCs/>
        </w:rPr>
        <w:t>popolazione palestinese</w:t>
      </w:r>
      <w:r w:rsidRPr="00EE233E">
        <w:t xml:space="preserve">, e di altri più recenti e tuttora aperti, come quelli in </w:t>
      </w:r>
      <w:r w:rsidRPr="00EE233E">
        <w:rPr>
          <w:b/>
          <w:bCs/>
        </w:rPr>
        <w:t>Afghanistan</w:t>
      </w:r>
      <w:r w:rsidRPr="00EE233E">
        <w:t xml:space="preserve"> e in </w:t>
      </w:r>
      <w:r w:rsidRPr="00EE233E">
        <w:rPr>
          <w:b/>
          <w:bCs/>
        </w:rPr>
        <w:t>Iraq</w:t>
      </w:r>
      <w:r w:rsidRPr="00EE233E">
        <w:t>.</w:t>
      </w:r>
    </w:p>
    <w:p w14:paraId="6AB7986B" w14:textId="77777777" w:rsidR="00EE233E" w:rsidRPr="00EE233E" w:rsidRDefault="00EE233E" w:rsidP="00EE233E">
      <w:r w:rsidRPr="00EE233E">
        <w:t xml:space="preserve">Il territorio nel quale si è verificata ultimamente </w:t>
      </w:r>
      <w:r w:rsidRPr="00EE233E">
        <w:rPr>
          <w:b/>
          <w:bCs/>
        </w:rPr>
        <w:t xml:space="preserve">la più rilevante crescita nel numero dei profughi </w:t>
      </w:r>
      <w:r w:rsidRPr="00EE233E">
        <w:rPr>
          <w:rtl/>
          <w:lang w:bidi="ar-YE"/>
        </w:rPr>
        <w:t xml:space="preserve">è quello della </w:t>
      </w:r>
      <w:r w:rsidRPr="00EE233E">
        <w:rPr>
          <w:b/>
          <w:bCs/>
        </w:rPr>
        <w:t>Siria</w:t>
      </w:r>
      <w:r w:rsidRPr="00EE233E">
        <w:t xml:space="preserve"> dove è in corso una sanguinosa guerra civile (più di centomila vittime) iniziata nel marzo 2011, dapprima nella forma di una protesta popolare contro il regime al potere. Quest’ultimo è dal 1971 nelle mani della famiglia </w:t>
      </w:r>
      <w:r w:rsidRPr="00EE233E">
        <w:rPr>
          <w:b/>
          <w:bCs/>
        </w:rPr>
        <w:t>Al-Assad,</w:t>
      </w:r>
      <w:r w:rsidRPr="00EE233E">
        <w:t xml:space="preserve"> appartenente alla</w:t>
      </w:r>
      <w:r w:rsidRPr="00EE233E">
        <w:rPr>
          <w:b/>
          <w:bCs/>
        </w:rPr>
        <w:t xml:space="preserve"> minoranza alawita,</w:t>
      </w:r>
      <w:r w:rsidRPr="00EE233E">
        <w:t xml:space="preserve"> riconducibile alla più vasta </w:t>
      </w:r>
      <w:r w:rsidRPr="00EE233E">
        <w:rPr>
          <w:b/>
          <w:bCs/>
        </w:rPr>
        <w:t>componente sciita</w:t>
      </w:r>
      <w:r w:rsidRPr="00EE233E">
        <w:t xml:space="preserve"> dominante in Iran e largamente presente in Iraq e in Libano. L’aspetto religioso, che in tutti questi paesi è anche politico e profondamente intrecciato con elementi etnici e tribali, ha immediatamente condizionato le parti coinvolte nel conflitto. Lo scontro ha presto assunto un carattere riconducibile al più generale </w:t>
      </w:r>
      <w:r w:rsidRPr="00EE233E">
        <w:rPr>
          <w:b/>
          <w:bCs/>
        </w:rPr>
        <w:t>confronto fra sciiti e sunniti</w:t>
      </w:r>
      <w:r w:rsidRPr="00EE233E">
        <w:t xml:space="preserve"> che domina l’area del Grande Medio Oriente. Così il presidente </w:t>
      </w:r>
      <w:r w:rsidRPr="00EE233E">
        <w:rPr>
          <w:b/>
          <w:bCs/>
        </w:rPr>
        <w:t>Bashar Al-Assad</w:t>
      </w:r>
      <w:r w:rsidRPr="00EE233E">
        <w:t xml:space="preserve">, che già aveva il sostegno della </w:t>
      </w:r>
      <w:r w:rsidRPr="00EE233E">
        <w:rPr>
          <w:b/>
          <w:bCs/>
        </w:rPr>
        <w:t>Russia</w:t>
      </w:r>
      <w:r w:rsidRPr="00EE233E">
        <w:t>, alleato storico della Siria, è stato spalleggiato anche dall’</w:t>
      </w:r>
      <w:r w:rsidRPr="00EE233E">
        <w:rPr>
          <w:b/>
          <w:bCs/>
        </w:rPr>
        <w:t>Iran</w:t>
      </w:r>
      <w:r w:rsidRPr="00EE233E">
        <w:t xml:space="preserve"> e da </w:t>
      </w:r>
      <w:r w:rsidRPr="00EE233E">
        <w:rPr>
          <w:b/>
          <w:bCs/>
        </w:rPr>
        <w:t>Hezbollah</w:t>
      </w:r>
      <w:r w:rsidRPr="00EE233E">
        <w:t>, la potente organizzazione sciita libanese. L’intervento di quest’ultima, che ha inviato i suoi miliziani armati a sostenere le truppe lealiste nella primavera del 2013, ha sensibilmente mutato, a favore del regime di Assad, i rapporti di forza sul terreno. Contemporaneamente, sul piano delle iniziative internazionali, la preoccupazione di non alterare i delicati equilibri della regione ha suggerito di evitare interventi militari esterni (</w:t>
      </w:r>
      <w:r w:rsidRPr="00EE233E">
        <w:rPr>
          <w:i/>
          <w:iCs/>
        </w:rPr>
        <w:t>cfr</w:t>
      </w:r>
      <w:r w:rsidRPr="00EE233E">
        <w:t xml:space="preserve">. Per la Storia Mail, 52-53) la minaccia dei quali, da parte degli </w:t>
      </w:r>
      <w:r w:rsidRPr="00EE233E">
        <w:rPr>
          <w:b/>
          <w:bCs/>
        </w:rPr>
        <w:t>USA</w:t>
      </w:r>
      <w:r w:rsidRPr="00EE233E">
        <w:t xml:space="preserve">, ha tuttavia portato agli </w:t>
      </w:r>
      <w:r w:rsidRPr="00EE233E">
        <w:rPr>
          <w:b/>
          <w:bCs/>
        </w:rPr>
        <w:t xml:space="preserve">accordi </w:t>
      </w:r>
      <w:r w:rsidRPr="00EE233E">
        <w:t xml:space="preserve">riguardanti la </w:t>
      </w:r>
      <w:r w:rsidRPr="00EE233E">
        <w:rPr>
          <w:b/>
          <w:bCs/>
        </w:rPr>
        <w:t xml:space="preserve">distruzione dell’arsenale chimico siriano </w:t>
      </w:r>
      <w:r w:rsidRPr="00EE233E">
        <w:t xml:space="preserve">(settembre 2013). </w:t>
      </w:r>
    </w:p>
    <w:p w14:paraId="205F3C0E" w14:textId="77777777" w:rsidR="00EE233E" w:rsidRPr="00EE233E" w:rsidRDefault="00EE233E" w:rsidP="00EE233E">
      <w:r w:rsidRPr="00EE233E">
        <w:t>Questi provvedimenti, su cui Russia e Stati Uniti hanno trovato un compromesso, non sembrano aver avuto finora significativi effetti sulla guerra civile che continua a ripercuotersi disastrosamente sulla popolazione civile della Siria. Attualmente i profughi sono già più di due milioni e l’Ufficio delle Nazioni Unite per gli affari umanitari (</w:t>
      </w:r>
      <w:r w:rsidRPr="00EE233E">
        <w:rPr>
          <w:b/>
          <w:bCs/>
        </w:rPr>
        <w:t>OCHA</w:t>
      </w:r>
      <w:r w:rsidRPr="00EE233E">
        <w:t>,</w:t>
      </w:r>
      <w:r w:rsidRPr="00EE233E">
        <w:rPr>
          <w:i/>
          <w:iCs/>
        </w:rPr>
        <w:t xml:space="preserve"> Office for the Coordination of Humanitarian Affairs</w:t>
      </w:r>
      <w:r w:rsidRPr="00EE233E">
        <w:t xml:space="preserve">, </w:t>
      </w:r>
      <w:hyperlink r:id="rId9" w:history="1">
        <w:r w:rsidRPr="00960511">
          <w:rPr>
            <w:rStyle w:val="Collegamentoipertestuale"/>
          </w:rPr>
          <w:t>http://syria.unocha.org</w:t>
        </w:r>
      </w:hyperlink>
      <w:r w:rsidRPr="00EE233E">
        <w:t>) prevede che arriveranno a 3,2 milioni alla fine del 2013 e cresceranno di ulteriori 2 milioni nell’anno successivo. La maggior parte è attualmente ospitata nei paesi vicini: Libano, Giordania, Turchia e Iraq. L’OCHA calcola che nel corso del prossimo anno salirà a più di un terzo dell’intera popolazione della Siria (23 milioni) la quota di coloro che si troveranno in condizione di grave necessità e fra questi saranno 6 milioni e mezzo i rifugiati interni (Internally Displaced People, IDP)</w:t>
      </w:r>
    </w:p>
    <w:p w14:paraId="008FB03E" w14:textId="77777777" w:rsidR="00EE233E" w:rsidRPr="00EE233E" w:rsidRDefault="00EE233E" w:rsidP="00EE233E"/>
    <w:p w14:paraId="2368F51F" w14:textId="77777777" w:rsidR="00EE233E" w:rsidRPr="00EE233E" w:rsidRDefault="00EE233E" w:rsidP="00EE233E">
      <w:pPr>
        <w:rPr>
          <w:b/>
          <w:bCs/>
        </w:rPr>
      </w:pPr>
      <w:r w:rsidRPr="00EE233E">
        <w:rPr>
          <w:b/>
          <w:bCs/>
        </w:rPr>
        <w:t>I percorsi dei profughi</w:t>
      </w:r>
    </w:p>
    <w:p w14:paraId="0C905B64" w14:textId="77777777" w:rsidR="00EE233E" w:rsidRPr="00EE233E" w:rsidRDefault="00EE233E" w:rsidP="00EE233E">
      <w:r w:rsidRPr="00EE233E">
        <w:t xml:space="preserve">Come mostra la carta qui a fianco, la maggior parte dei profughi che oggi bussa alle porte dell’Europa proviene dall’Africa, oltre che dall’area mediorientale. Seguendone i tragitti vediamo che, a parte una linea di percorso che dalla </w:t>
      </w:r>
      <w:r w:rsidRPr="00EE233E">
        <w:rPr>
          <w:b/>
          <w:bCs/>
        </w:rPr>
        <w:t>Sierra Leone</w:t>
      </w:r>
      <w:r w:rsidRPr="00EE233E">
        <w:t xml:space="preserve"> e dal </w:t>
      </w:r>
      <w:r w:rsidRPr="00EE233E">
        <w:rPr>
          <w:b/>
          <w:bCs/>
        </w:rPr>
        <w:t>Senegal</w:t>
      </w:r>
      <w:r w:rsidRPr="00EE233E">
        <w:t xml:space="preserve"> accede direttamente alla </w:t>
      </w:r>
      <w:r w:rsidRPr="00EE233E">
        <w:rPr>
          <w:b/>
          <w:bCs/>
        </w:rPr>
        <w:t>Spagna</w:t>
      </w:r>
      <w:r w:rsidRPr="00EE233E">
        <w:t xml:space="preserve"> attraverso le </w:t>
      </w:r>
      <w:r w:rsidRPr="00EE233E">
        <w:rPr>
          <w:b/>
          <w:bCs/>
        </w:rPr>
        <w:t>Canarie</w:t>
      </w:r>
      <w:r w:rsidRPr="00EE233E">
        <w:t xml:space="preserve"> e il </w:t>
      </w:r>
      <w:r w:rsidRPr="00EE233E">
        <w:rPr>
          <w:b/>
          <w:bCs/>
        </w:rPr>
        <w:t>Marocco</w:t>
      </w:r>
      <w:r w:rsidRPr="00EE233E">
        <w:t xml:space="preserve">, gli altri flussi di profughi africani seguono la via del </w:t>
      </w:r>
      <w:r w:rsidRPr="00EE233E">
        <w:rPr>
          <w:b/>
          <w:bCs/>
        </w:rPr>
        <w:t>Sahara</w:t>
      </w:r>
      <w:r w:rsidRPr="00EE233E">
        <w:t xml:space="preserve"> per raggiungere le coste del Mediterraneo e da lì tentare di arrivare alla sponda meridionale dell’Europa. L’</w:t>
      </w:r>
      <w:r w:rsidRPr="00EE233E">
        <w:rPr>
          <w:b/>
          <w:bCs/>
        </w:rPr>
        <w:t>Italia</w:t>
      </w:r>
      <w:r w:rsidRPr="00EE233E">
        <w:t xml:space="preserve"> rappresenta la maggiore attrattiva, in ragione della sua vicinanza geografica alla </w:t>
      </w:r>
      <w:r w:rsidRPr="00EE233E">
        <w:rPr>
          <w:b/>
          <w:bCs/>
        </w:rPr>
        <w:t>Libia</w:t>
      </w:r>
      <w:r w:rsidRPr="00EE233E">
        <w:t xml:space="preserve"> e alla </w:t>
      </w:r>
      <w:r w:rsidRPr="00EE233E">
        <w:rPr>
          <w:b/>
          <w:bCs/>
        </w:rPr>
        <w:t>Tunisia</w:t>
      </w:r>
      <w:r w:rsidRPr="00EE233E">
        <w:t>. Mentre dall’</w:t>
      </w:r>
      <w:r w:rsidRPr="00EE233E">
        <w:rPr>
          <w:b/>
          <w:bCs/>
        </w:rPr>
        <w:t>Egitto</w:t>
      </w:r>
      <w:r w:rsidRPr="00EE233E">
        <w:t xml:space="preserve"> e dall’</w:t>
      </w:r>
      <w:r w:rsidRPr="00EE233E">
        <w:rPr>
          <w:b/>
          <w:bCs/>
        </w:rPr>
        <w:t>area siro-palestinese</w:t>
      </w:r>
      <w:r w:rsidRPr="00EE233E">
        <w:t xml:space="preserve"> le rotte si dirigono in </w:t>
      </w:r>
      <w:r w:rsidRPr="00EE233E">
        <w:rPr>
          <w:b/>
          <w:bCs/>
        </w:rPr>
        <w:t>Grecia</w:t>
      </w:r>
      <w:r w:rsidRPr="00EE233E">
        <w:t xml:space="preserve">, talvolta passando prima dalla </w:t>
      </w:r>
      <w:r w:rsidRPr="00EE233E">
        <w:rPr>
          <w:b/>
          <w:bCs/>
        </w:rPr>
        <w:t>Turchia</w:t>
      </w:r>
      <w:r w:rsidRPr="00EE233E">
        <w:t>.</w:t>
      </w:r>
    </w:p>
    <w:p w14:paraId="190EC1FE" w14:textId="77777777" w:rsidR="00EE233E" w:rsidRPr="00EE233E" w:rsidRDefault="00EE233E" w:rsidP="00EE233E"/>
    <w:p w14:paraId="6634E102" w14:textId="77777777" w:rsidR="00EE233E" w:rsidRPr="00EE233E" w:rsidRDefault="00EE233E" w:rsidP="00EE233E">
      <w:pPr>
        <w:rPr>
          <w:b/>
          <w:bCs/>
        </w:rPr>
      </w:pPr>
      <w:r w:rsidRPr="00EE233E">
        <w:rPr>
          <w:b/>
          <w:bCs/>
        </w:rPr>
        <w:t>Le stesse piste seguite dagli schiavi</w:t>
      </w:r>
    </w:p>
    <w:p w14:paraId="15A906F9" w14:textId="77777777" w:rsidR="00EE233E" w:rsidRDefault="00EE233E" w:rsidP="00EE233E">
      <w:r w:rsidRPr="00EE233E">
        <w:t xml:space="preserve">Le piste che attraversano il Sahara sono le stesse percorse per secoli dai </w:t>
      </w:r>
      <w:r w:rsidRPr="00EE233E">
        <w:rPr>
          <w:b/>
          <w:bCs/>
        </w:rPr>
        <w:t>trafficanti arabi di schiavi</w:t>
      </w:r>
      <w:r w:rsidRPr="00EE233E">
        <w:t xml:space="preserve"> che rifornivano i mercati del Mediterraneo. Al posto delle carovane di cammelli vi sono oggi vecchi camion stracolmi di persone che rischiano la morte per sete nel deserto come più tardi, a bordo di barconi malsicuri, rischieranno il </w:t>
      </w:r>
      <w:r w:rsidRPr="00EE233E">
        <w:rPr>
          <w:b/>
          <w:bCs/>
        </w:rPr>
        <w:t>naufragio</w:t>
      </w:r>
      <w:r w:rsidRPr="00EE233E">
        <w:t xml:space="preserve"> nel Canale di Sicilia e al largo della Cirenaica. Dalle zone più disastrate dell’Africa centrale (</w:t>
      </w:r>
      <w:r w:rsidRPr="00EE233E">
        <w:rPr>
          <w:b/>
          <w:bCs/>
        </w:rPr>
        <w:t>Nigeria</w:t>
      </w:r>
      <w:r w:rsidRPr="00EE233E">
        <w:t xml:space="preserve">, </w:t>
      </w:r>
      <w:r w:rsidRPr="00EE233E">
        <w:rPr>
          <w:b/>
          <w:bCs/>
        </w:rPr>
        <w:t>Congo</w:t>
      </w:r>
      <w:r w:rsidRPr="00EE233E">
        <w:t xml:space="preserve">, </w:t>
      </w:r>
      <w:r w:rsidRPr="00EE233E">
        <w:rPr>
          <w:b/>
          <w:bCs/>
        </w:rPr>
        <w:t>Corno d’Africa</w:t>
      </w:r>
      <w:r w:rsidRPr="00EE233E">
        <w:t xml:space="preserve">) i profughi sono convogliati verso </w:t>
      </w:r>
      <w:r w:rsidRPr="00EE233E">
        <w:rPr>
          <w:b/>
          <w:bCs/>
        </w:rPr>
        <w:t>antichi posti tappa</w:t>
      </w:r>
      <w:r w:rsidRPr="00EE233E">
        <w:t xml:space="preserve"> nel </w:t>
      </w:r>
      <w:r w:rsidRPr="00EE233E">
        <w:rPr>
          <w:b/>
          <w:bCs/>
        </w:rPr>
        <w:t>Mali</w:t>
      </w:r>
      <w:r w:rsidRPr="00EE233E">
        <w:t xml:space="preserve">, nel </w:t>
      </w:r>
      <w:r w:rsidRPr="00EE233E">
        <w:rPr>
          <w:b/>
          <w:bCs/>
        </w:rPr>
        <w:t>Niger</w:t>
      </w:r>
      <w:r w:rsidRPr="00EE233E">
        <w:t xml:space="preserve"> e in </w:t>
      </w:r>
      <w:r w:rsidRPr="00EE233E">
        <w:rPr>
          <w:b/>
          <w:bCs/>
        </w:rPr>
        <w:t>Sudan</w:t>
      </w:r>
      <w:r w:rsidRPr="00EE233E">
        <w:t xml:space="preserve"> dove passano da un gruppo di trafficanti a un altro. Ogni volta al prezzo di cifre per loro altissime, ogni volta subendo violenze, angherie e ricatti dai nuovi negrieri. Il rischio enorme a cui sottopongono le loro vite, il costo materiale e personale che pagano nella speranza di raggiungere la meta, ci danno (ci potrebbero dare, se volessimo osservarli) una misura delle condizioni da cui cercano di fuggire.</w:t>
      </w:r>
    </w:p>
    <w:p w14:paraId="77AE830C" w14:textId="77777777" w:rsidR="00D67EC3" w:rsidRDefault="00D67EC3" w:rsidP="00EE233E"/>
    <w:p w14:paraId="7CE65D6A" w14:textId="77777777" w:rsidR="00D67EC3" w:rsidRPr="00EE233E" w:rsidRDefault="00D67EC3" w:rsidP="00EE233E"/>
    <w:p w14:paraId="46D7D86D" w14:textId="2C9AA7AA" w:rsidR="00D67EC3" w:rsidRPr="00696B36" w:rsidRDefault="00D67EC3" w:rsidP="00D67EC3">
      <w:pPr>
        <w:rPr>
          <w:b/>
          <w:bCs/>
          <w:sz w:val="20"/>
          <w:szCs w:val="20"/>
        </w:rPr>
      </w:pPr>
      <w:r>
        <w:rPr>
          <w:b/>
          <w:bCs/>
          <w:sz w:val="20"/>
          <w:szCs w:val="20"/>
        </w:rPr>
        <w:t xml:space="preserve">BOX  </w:t>
      </w:r>
      <w:r w:rsidRPr="00696B36">
        <w:rPr>
          <w:b/>
          <w:bCs/>
          <w:sz w:val="20"/>
          <w:szCs w:val="20"/>
        </w:rPr>
        <w:t>Alc</w:t>
      </w:r>
      <w:r>
        <w:rPr>
          <w:b/>
          <w:bCs/>
          <w:sz w:val="20"/>
          <w:szCs w:val="20"/>
        </w:rPr>
        <w:t xml:space="preserve">uni articoli della Convenzione </w:t>
      </w:r>
      <w:r w:rsidRPr="00696B36">
        <w:rPr>
          <w:b/>
          <w:bCs/>
          <w:sz w:val="20"/>
          <w:szCs w:val="20"/>
        </w:rPr>
        <w:t xml:space="preserve">di Ginevra del 1951 </w:t>
      </w:r>
    </w:p>
    <w:p w14:paraId="6196AA0F" w14:textId="77777777" w:rsidR="00D67EC3" w:rsidRPr="00696B36" w:rsidRDefault="00D67EC3" w:rsidP="00D67EC3">
      <w:pPr>
        <w:rPr>
          <w:sz w:val="20"/>
          <w:szCs w:val="20"/>
        </w:rPr>
      </w:pPr>
      <w:r w:rsidRPr="00696B36">
        <w:rPr>
          <w:sz w:val="20"/>
          <w:szCs w:val="20"/>
        </w:rPr>
        <w:t>(Legge n. 722/1954 della Repubblica italiana)</w:t>
      </w:r>
    </w:p>
    <w:p w14:paraId="6C06E0D5" w14:textId="77777777" w:rsidR="00D67EC3" w:rsidRPr="00696B36" w:rsidRDefault="00D67EC3" w:rsidP="00D67EC3">
      <w:pPr>
        <w:rPr>
          <w:sz w:val="20"/>
          <w:szCs w:val="20"/>
        </w:rPr>
      </w:pPr>
      <w:r w:rsidRPr="00696B36">
        <w:rPr>
          <w:b/>
          <w:bCs/>
          <w:sz w:val="20"/>
          <w:szCs w:val="20"/>
        </w:rPr>
        <w:t>Articolo 31 Rifugiati che soggiornano irregolarmente nel paese ospitante</w:t>
      </w:r>
      <w:r w:rsidRPr="00696B36">
        <w:rPr>
          <w:sz w:val="20"/>
          <w:szCs w:val="20"/>
        </w:rPr>
        <w:t xml:space="preserve"> Gli Stati Contraenti non prenderanno sanzioni penali, a motivo della loro entrata o del loro soggiorno illegali, contro i rifugiati che giungono direttamente da un territorio in cui la loro vita o la loro libertà erano minacciate […], per quanto si presentino senza indugio alle autorità e giustifichino con motivi validi la loro entrata o il loro soggiorno irregolari.</w:t>
      </w:r>
    </w:p>
    <w:p w14:paraId="5EEC2DFC" w14:textId="77777777" w:rsidR="00D67EC3" w:rsidRPr="00696B36" w:rsidRDefault="00D67EC3" w:rsidP="00D67EC3">
      <w:pPr>
        <w:rPr>
          <w:sz w:val="20"/>
          <w:szCs w:val="20"/>
        </w:rPr>
      </w:pPr>
      <w:r w:rsidRPr="00696B36">
        <w:rPr>
          <w:b/>
          <w:bCs/>
          <w:sz w:val="20"/>
          <w:szCs w:val="20"/>
        </w:rPr>
        <w:t>Articolo 32 Espulsione</w:t>
      </w:r>
      <w:r w:rsidRPr="00696B36">
        <w:rPr>
          <w:sz w:val="20"/>
          <w:szCs w:val="20"/>
        </w:rPr>
        <w:t xml:space="preserve"> Gli Stati Contraenti possono espellere un rifugiato che risiede regolarmente sul loro territorio soltanto per motivi di sicurezza nazionale o d’ordine pubblico.</w:t>
      </w:r>
    </w:p>
    <w:p w14:paraId="25ACF7E3" w14:textId="77777777" w:rsidR="00D67EC3" w:rsidRPr="00696B36" w:rsidRDefault="00D67EC3" w:rsidP="00D67EC3">
      <w:pPr>
        <w:rPr>
          <w:sz w:val="20"/>
          <w:szCs w:val="20"/>
        </w:rPr>
      </w:pPr>
      <w:r w:rsidRPr="00696B36">
        <w:rPr>
          <w:b/>
          <w:bCs/>
          <w:sz w:val="20"/>
          <w:szCs w:val="20"/>
        </w:rPr>
        <w:t>Articolo 33 Divieto d’espulsione e di rinvio al confine</w:t>
      </w:r>
      <w:r w:rsidRPr="00696B36">
        <w:rPr>
          <w:sz w:val="20"/>
          <w:szCs w:val="20"/>
        </w:rPr>
        <w:t xml:space="preserve"> Nessuno Stato Contraente espellerà o respingerà, in qualsiasi modo, un rifugiato verso i confini di territori in cui la sua vita o la sua libertà sarebbero minacciate a motivo della sua razza, della sua religione, della sua cittadinanza, della sua appartenenza a un gruppo sociale o delle sue opinioni politiche.</w:t>
      </w:r>
    </w:p>
    <w:p w14:paraId="107D3635" w14:textId="77777777" w:rsidR="00EE233E" w:rsidRDefault="00EE233E"/>
    <w:p w14:paraId="521FA0F2" w14:textId="77777777" w:rsidR="009567F3" w:rsidRDefault="009567F3">
      <w:pPr>
        <w:rPr>
          <w:b/>
          <w:sz w:val="20"/>
          <w:szCs w:val="20"/>
        </w:rPr>
      </w:pPr>
      <w:r>
        <w:rPr>
          <w:b/>
          <w:sz w:val="20"/>
          <w:szCs w:val="20"/>
        </w:rPr>
        <w:br w:type="page"/>
      </w:r>
    </w:p>
    <w:p w14:paraId="441EFDD9" w14:textId="4F32276F" w:rsidR="00D67EC3" w:rsidRPr="00D67EC3" w:rsidRDefault="00D67EC3">
      <w:pPr>
        <w:rPr>
          <w:b/>
          <w:sz w:val="20"/>
          <w:szCs w:val="20"/>
        </w:rPr>
      </w:pPr>
      <w:r w:rsidRPr="00D67EC3">
        <w:rPr>
          <w:b/>
          <w:sz w:val="20"/>
          <w:szCs w:val="20"/>
        </w:rPr>
        <w:t xml:space="preserve">DATI </w:t>
      </w:r>
    </w:p>
    <w:tbl>
      <w:tblPr>
        <w:tblW w:w="0" w:type="auto"/>
        <w:tblInd w:w="85" w:type="dxa"/>
        <w:tblLayout w:type="fixed"/>
        <w:tblCellMar>
          <w:left w:w="0" w:type="dxa"/>
          <w:right w:w="0" w:type="dxa"/>
        </w:tblCellMar>
        <w:tblLook w:val="0000" w:firstRow="0" w:lastRow="0" w:firstColumn="0" w:lastColumn="0" w:noHBand="0" w:noVBand="0"/>
      </w:tblPr>
      <w:tblGrid>
        <w:gridCol w:w="2889"/>
        <w:gridCol w:w="907"/>
        <w:gridCol w:w="1868"/>
      </w:tblGrid>
      <w:tr w:rsidR="00EE233E" w:rsidRPr="00D67EC3" w14:paraId="2FFCC84C" w14:textId="77777777">
        <w:trPr>
          <w:trHeight w:val="60"/>
        </w:trPr>
        <w:tc>
          <w:tcPr>
            <w:tcW w:w="5664" w:type="dxa"/>
            <w:gridSpan w:val="3"/>
            <w:tcBorders>
              <w:top w:val="single" w:sz="2" w:space="0" w:color="000000"/>
              <w:left w:val="single" w:sz="2" w:space="0" w:color="000000"/>
              <w:bottom w:val="single" w:sz="2" w:space="0" w:color="000000"/>
              <w:right w:val="single" w:sz="8" w:space="0" w:color="000000"/>
            </w:tcBorders>
            <w:tcMar>
              <w:top w:w="85" w:type="dxa"/>
              <w:left w:w="85" w:type="dxa"/>
              <w:bottom w:w="85" w:type="dxa"/>
              <w:right w:w="85" w:type="dxa"/>
            </w:tcMar>
          </w:tcPr>
          <w:p w14:paraId="2E954820" w14:textId="77777777" w:rsidR="00EE233E" w:rsidRPr="00D67EC3" w:rsidRDefault="00EE233E">
            <w:pPr>
              <w:pStyle w:val="03boxarticolo"/>
              <w:rPr>
                <w:rFonts w:asciiTheme="minorHAnsi" w:hAnsiTheme="minorHAnsi"/>
                <w:sz w:val="20"/>
                <w:szCs w:val="20"/>
              </w:rPr>
            </w:pPr>
            <w:r w:rsidRPr="00D67EC3">
              <w:rPr>
                <w:rFonts w:asciiTheme="minorHAnsi" w:hAnsiTheme="minorHAnsi" w:cs="HelveticaNeue-BoldCond"/>
                <w:b/>
                <w:bCs/>
                <w:caps/>
                <w:sz w:val="20"/>
                <w:szCs w:val="20"/>
              </w:rPr>
              <w:t>Rifugiati censiti dall’UNHCR al gennaio 2013 in alcuni paesi europei</w:t>
            </w:r>
          </w:p>
        </w:tc>
      </w:tr>
      <w:tr w:rsidR="00EE233E" w:rsidRPr="00D67EC3" w14:paraId="4D68E164" w14:textId="77777777">
        <w:trPr>
          <w:trHeight w:val="60"/>
        </w:trPr>
        <w:tc>
          <w:tcPr>
            <w:tcW w:w="2889"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0F9CC8D4" w14:textId="77777777" w:rsidR="00EE233E" w:rsidRPr="00D67EC3" w:rsidRDefault="00EE233E">
            <w:pPr>
              <w:pStyle w:val="03boxarticolo"/>
              <w:jc w:val="right"/>
              <w:rPr>
                <w:rFonts w:asciiTheme="minorHAnsi" w:hAnsiTheme="minorHAnsi"/>
                <w:sz w:val="20"/>
                <w:szCs w:val="20"/>
              </w:rPr>
            </w:pPr>
            <w:r w:rsidRPr="00D67EC3">
              <w:rPr>
                <w:rFonts w:asciiTheme="minorHAnsi" w:hAnsiTheme="minorHAnsi" w:cs="HelveticaNeue-BoldCond"/>
                <w:b/>
                <w:bCs/>
                <w:sz w:val="20"/>
                <w:szCs w:val="20"/>
              </w:rPr>
              <w:t>Stati</w:t>
            </w:r>
          </w:p>
        </w:tc>
        <w:tc>
          <w:tcPr>
            <w:tcW w:w="90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0CD12FDB" w14:textId="77777777" w:rsidR="00EE233E" w:rsidRPr="00D67EC3" w:rsidRDefault="00EE233E">
            <w:pPr>
              <w:pStyle w:val="03boxarticolo"/>
              <w:rPr>
                <w:rFonts w:asciiTheme="minorHAnsi" w:hAnsiTheme="minorHAnsi"/>
                <w:sz w:val="20"/>
                <w:szCs w:val="20"/>
              </w:rPr>
            </w:pPr>
            <w:r w:rsidRPr="00D67EC3">
              <w:rPr>
                <w:rFonts w:asciiTheme="minorHAnsi" w:hAnsiTheme="minorHAnsi" w:cs="HelveticaNeue-BoldCond"/>
                <w:b/>
                <w:bCs/>
                <w:sz w:val="20"/>
                <w:szCs w:val="20"/>
              </w:rPr>
              <w:t xml:space="preserve">Rifugiati </w:t>
            </w:r>
          </w:p>
        </w:tc>
        <w:tc>
          <w:tcPr>
            <w:tcW w:w="1868" w:type="dxa"/>
            <w:vMerge w:val="restart"/>
            <w:tcBorders>
              <w:top w:val="single" w:sz="2" w:space="0" w:color="000000"/>
              <w:left w:val="single" w:sz="2" w:space="0" w:color="000000"/>
              <w:bottom w:val="single" w:sz="8" w:space="0" w:color="000000"/>
              <w:right w:val="single" w:sz="2" w:space="0" w:color="000000"/>
            </w:tcBorders>
            <w:shd w:val="solid" w:color="FFFFFF" w:fill="auto"/>
            <w:tcMar>
              <w:top w:w="85" w:type="dxa"/>
              <w:left w:w="85" w:type="dxa"/>
              <w:bottom w:w="85" w:type="dxa"/>
              <w:right w:w="85" w:type="dxa"/>
            </w:tcMar>
            <w:vAlign w:val="center"/>
          </w:tcPr>
          <w:p w14:paraId="502598EF" w14:textId="77777777" w:rsidR="00EE233E" w:rsidRPr="00D67EC3" w:rsidRDefault="00EE233E">
            <w:pPr>
              <w:pStyle w:val="03boxarticolo"/>
              <w:rPr>
                <w:rFonts w:asciiTheme="minorHAnsi" w:hAnsiTheme="minorHAnsi"/>
                <w:sz w:val="20"/>
                <w:szCs w:val="20"/>
              </w:rPr>
            </w:pPr>
            <w:r w:rsidRPr="00D67EC3">
              <w:rPr>
                <w:rFonts w:asciiTheme="minorHAnsi" w:hAnsiTheme="minorHAnsi"/>
                <w:sz w:val="20"/>
                <w:szCs w:val="20"/>
              </w:rPr>
              <w:t>Per apprezzare l’impatto prodotto dall’arrivo dei profughi nel paese accogliente è necessario confrontare il loro numero con quello degli abitanti residenti (fra parentesi, secondo dati ONU). Così, per esempio, se in Italia il rapporto è poco più dell’1/1000, in Francia è del 3,24, in Olanda è del 4,36, in Germania del 7,12, in Norvegia dell’8,49 e i profughi accolti in Svezia sono quasi 1 ogni 100 abitanti (9,70/1000)</w:t>
            </w:r>
          </w:p>
        </w:tc>
      </w:tr>
      <w:tr w:rsidR="00EE233E" w:rsidRPr="00D67EC3" w14:paraId="2FB97437" w14:textId="77777777">
        <w:trPr>
          <w:trHeight w:val="60"/>
        </w:trPr>
        <w:tc>
          <w:tcPr>
            <w:tcW w:w="2889"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4B9B87A1" w14:textId="77777777" w:rsidR="00EE233E" w:rsidRPr="00D67EC3" w:rsidRDefault="00EE233E">
            <w:pPr>
              <w:pStyle w:val="03boxarticolo"/>
              <w:jc w:val="right"/>
              <w:rPr>
                <w:rFonts w:asciiTheme="minorHAnsi" w:hAnsiTheme="minorHAnsi"/>
                <w:sz w:val="20"/>
                <w:szCs w:val="20"/>
              </w:rPr>
            </w:pPr>
            <w:r w:rsidRPr="00D67EC3">
              <w:rPr>
                <w:rFonts w:asciiTheme="minorHAnsi" w:hAnsiTheme="minorHAnsi"/>
                <w:sz w:val="20"/>
                <w:szCs w:val="20"/>
              </w:rPr>
              <w:t>Austria (8</w:t>
            </w:r>
            <w:r w:rsidRPr="00D67EC3">
              <w:rPr>
                <w:rFonts w:asciiTheme="minorHAnsi" w:hAnsiTheme="minorHAnsi"/>
                <w:spacing w:val="-19"/>
                <w:sz w:val="20"/>
                <w:szCs w:val="20"/>
              </w:rPr>
              <w:t xml:space="preserve"> </w:t>
            </w:r>
            <w:r w:rsidRPr="00D67EC3">
              <w:rPr>
                <w:rFonts w:asciiTheme="minorHAnsi" w:hAnsiTheme="minorHAnsi"/>
                <w:sz w:val="20"/>
                <w:szCs w:val="20"/>
              </w:rPr>
              <w:t>495</w:t>
            </w:r>
            <w:r w:rsidRPr="00D67EC3">
              <w:rPr>
                <w:rFonts w:asciiTheme="minorHAnsi" w:hAnsiTheme="minorHAnsi"/>
                <w:spacing w:val="-19"/>
                <w:sz w:val="20"/>
                <w:szCs w:val="20"/>
              </w:rPr>
              <w:t xml:space="preserve"> </w:t>
            </w:r>
            <w:r w:rsidRPr="00D67EC3">
              <w:rPr>
                <w:rFonts w:asciiTheme="minorHAnsi" w:hAnsiTheme="minorHAnsi"/>
                <w:sz w:val="20"/>
                <w:szCs w:val="20"/>
              </w:rPr>
              <w:t xml:space="preserve">145) </w:t>
            </w:r>
          </w:p>
        </w:tc>
        <w:tc>
          <w:tcPr>
            <w:tcW w:w="90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28AEFE36" w14:textId="77777777" w:rsidR="00EE233E" w:rsidRPr="00D67EC3" w:rsidRDefault="00EE233E">
            <w:pPr>
              <w:pStyle w:val="03boxarticolo"/>
              <w:rPr>
                <w:rFonts w:asciiTheme="minorHAnsi" w:hAnsiTheme="minorHAnsi"/>
                <w:sz w:val="20"/>
                <w:szCs w:val="20"/>
              </w:rPr>
            </w:pPr>
            <w:r w:rsidRPr="00D67EC3">
              <w:rPr>
                <w:rFonts w:asciiTheme="minorHAnsi" w:hAnsiTheme="minorHAnsi"/>
                <w:sz w:val="20"/>
                <w:szCs w:val="20"/>
              </w:rPr>
              <w:t>51</w:t>
            </w:r>
            <w:r w:rsidRPr="00D67EC3">
              <w:rPr>
                <w:rFonts w:asciiTheme="minorHAnsi" w:hAnsiTheme="minorHAnsi"/>
                <w:spacing w:val="-19"/>
                <w:sz w:val="20"/>
                <w:szCs w:val="20"/>
              </w:rPr>
              <w:t xml:space="preserve"> </w:t>
            </w:r>
            <w:r w:rsidRPr="00D67EC3">
              <w:rPr>
                <w:rFonts w:asciiTheme="minorHAnsi" w:hAnsiTheme="minorHAnsi"/>
                <w:sz w:val="20"/>
                <w:szCs w:val="20"/>
              </w:rPr>
              <w:t>730</w:t>
            </w:r>
          </w:p>
        </w:tc>
        <w:tc>
          <w:tcPr>
            <w:tcW w:w="1868" w:type="dxa"/>
            <w:vMerge/>
            <w:tcBorders>
              <w:top w:val="single" w:sz="8" w:space="0" w:color="000000"/>
              <w:left w:val="single" w:sz="2" w:space="0" w:color="000000"/>
              <w:bottom w:val="single" w:sz="8" w:space="0" w:color="000000"/>
              <w:right w:val="single" w:sz="2" w:space="0" w:color="000000"/>
            </w:tcBorders>
          </w:tcPr>
          <w:p w14:paraId="5C5B2579" w14:textId="77777777" w:rsidR="00EE233E" w:rsidRPr="00D67EC3" w:rsidRDefault="00EE233E">
            <w:pPr>
              <w:pStyle w:val="NoParagraphStyle"/>
              <w:spacing w:line="240" w:lineRule="auto"/>
              <w:textAlignment w:val="auto"/>
              <w:rPr>
                <w:rFonts w:asciiTheme="minorHAnsi" w:hAnsiTheme="minorHAnsi"/>
                <w:color w:val="auto"/>
                <w:sz w:val="20"/>
                <w:szCs w:val="20"/>
              </w:rPr>
            </w:pPr>
          </w:p>
        </w:tc>
      </w:tr>
      <w:tr w:rsidR="00EE233E" w:rsidRPr="00D67EC3" w14:paraId="612F7EC6" w14:textId="77777777">
        <w:trPr>
          <w:trHeight w:val="60"/>
        </w:trPr>
        <w:tc>
          <w:tcPr>
            <w:tcW w:w="2889"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78AC32FA" w14:textId="77777777" w:rsidR="00EE233E" w:rsidRPr="00D67EC3" w:rsidRDefault="00EE233E">
            <w:pPr>
              <w:pStyle w:val="03boxarticolo"/>
              <w:jc w:val="right"/>
              <w:rPr>
                <w:rFonts w:asciiTheme="minorHAnsi" w:hAnsiTheme="minorHAnsi"/>
                <w:sz w:val="20"/>
                <w:szCs w:val="20"/>
              </w:rPr>
            </w:pPr>
            <w:r w:rsidRPr="00D67EC3">
              <w:rPr>
                <w:rFonts w:asciiTheme="minorHAnsi" w:hAnsiTheme="minorHAnsi"/>
                <w:sz w:val="20"/>
                <w:szCs w:val="20"/>
              </w:rPr>
              <w:t>Belgio (11</w:t>
            </w:r>
            <w:r w:rsidRPr="00D67EC3">
              <w:rPr>
                <w:rFonts w:asciiTheme="minorHAnsi" w:hAnsiTheme="minorHAnsi"/>
                <w:spacing w:val="-19"/>
                <w:sz w:val="20"/>
                <w:szCs w:val="20"/>
              </w:rPr>
              <w:t xml:space="preserve"> </w:t>
            </w:r>
            <w:r w:rsidRPr="00D67EC3">
              <w:rPr>
                <w:rFonts w:asciiTheme="minorHAnsi" w:hAnsiTheme="minorHAnsi"/>
                <w:sz w:val="20"/>
                <w:szCs w:val="20"/>
              </w:rPr>
              <w:t>104</w:t>
            </w:r>
            <w:r w:rsidRPr="00D67EC3">
              <w:rPr>
                <w:rFonts w:asciiTheme="minorHAnsi" w:hAnsiTheme="minorHAnsi"/>
                <w:spacing w:val="-19"/>
                <w:sz w:val="20"/>
                <w:szCs w:val="20"/>
              </w:rPr>
              <w:t xml:space="preserve"> </w:t>
            </w:r>
            <w:r w:rsidRPr="00D67EC3">
              <w:rPr>
                <w:rFonts w:asciiTheme="minorHAnsi" w:hAnsiTheme="minorHAnsi"/>
                <w:sz w:val="20"/>
                <w:szCs w:val="20"/>
              </w:rPr>
              <w:t>476)</w:t>
            </w:r>
          </w:p>
        </w:tc>
        <w:tc>
          <w:tcPr>
            <w:tcW w:w="90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012C883A" w14:textId="77777777" w:rsidR="00EE233E" w:rsidRPr="00D67EC3" w:rsidRDefault="00EE233E">
            <w:pPr>
              <w:pStyle w:val="03boxarticolo"/>
              <w:rPr>
                <w:rFonts w:asciiTheme="minorHAnsi" w:hAnsiTheme="minorHAnsi"/>
                <w:sz w:val="20"/>
                <w:szCs w:val="20"/>
              </w:rPr>
            </w:pPr>
            <w:r w:rsidRPr="00D67EC3">
              <w:rPr>
                <w:rFonts w:asciiTheme="minorHAnsi" w:hAnsiTheme="minorHAnsi"/>
                <w:sz w:val="20"/>
                <w:szCs w:val="20"/>
              </w:rPr>
              <w:t>22</w:t>
            </w:r>
            <w:r w:rsidRPr="00D67EC3">
              <w:rPr>
                <w:rFonts w:asciiTheme="minorHAnsi" w:hAnsiTheme="minorHAnsi"/>
                <w:spacing w:val="-19"/>
                <w:sz w:val="20"/>
                <w:szCs w:val="20"/>
              </w:rPr>
              <w:t xml:space="preserve"> </w:t>
            </w:r>
            <w:r w:rsidRPr="00D67EC3">
              <w:rPr>
                <w:rFonts w:asciiTheme="minorHAnsi" w:hAnsiTheme="minorHAnsi"/>
                <w:sz w:val="20"/>
                <w:szCs w:val="20"/>
              </w:rPr>
              <w:t>024</w:t>
            </w:r>
          </w:p>
        </w:tc>
        <w:tc>
          <w:tcPr>
            <w:tcW w:w="1868" w:type="dxa"/>
            <w:vMerge/>
            <w:tcBorders>
              <w:top w:val="single" w:sz="8" w:space="0" w:color="000000"/>
              <w:left w:val="single" w:sz="2" w:space="0" w:color="000000"/>
              <w:bottom w:val="single" w:sz="8" w:space="0" w:color="000000"/>
              <w:right w:val="single" w:sz="2" w:space="0" w:color="000000"/>
            </w:tcBorders>
          </w:tcPr>
          <w:p w14:paraId="2472BFA9" w14:textId="77777777" w:rsidR="00EE233E" w:rsidRPr="00D67EC3" w:rsidRDefault="00EE233E">
            <w:pPr>
              <w:pStyle w:val="NoParagraphStyle"/>
              <w:spacing w:line="240" w:lineRule="auto"/>
              <w:textAlignment w:val="auto"/>
              <w:rPr>
                <w:rFonts w:asciiTheme="minorHAnsi" w:hAnsiTheme="minorHAnsi"/>
                <w:color w:val="auto"/>
                <w:sz w:val="20"/>
                <w:szCs w:val="20"/>
              </w:rPr>
            </w:pPr>
          </w:p>
        </w:tc>
      </w:tr>
      <w:tr w:rsidR="00EE233E" w:rsidRPr="00D67EC3" w14:paraId="49B27AC7" w14:textId="77777777">
        <w:trPr>
          <w:trHeight w:val="60"/>
        </w:trPr>
        <w:tc>
          <w:tcPr>
            <w:tcW w:w="2889"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761F691A" w14:textId="77777777" w:rsidR="00EE233E" w:rsidRPr="00D67EC3" w:rsidRDefault="00EE233E">
            <w:pPr>
              <w:pStyle w:val="03boxarticolo"/>
              <w:jc w:val="right"/>
              <w:rPr>
                <w:rFonts w:asciiTheme="minorHAnsi" w:hAnsiTheme="minorHAnsi"/>
                <w:sz w:val="20"/>
                <w:szCs w:val="20"/>
              </w:rPr>
            </w:pPr>
            <w:r w:rsidRPr="00D67EC3">
              <w:rPr>
                <w:rFonts w:asciiTheme="minorHAnsi" w:hAnsiTheme="minorHAnsi"/>
                <w:sz w:val="20"/>
                <w:szCs w:val="20"/>
              </w:rPr>
              <w:t>Danimarca (5</w:t>
            </w:r>
            <w:r w:rsidRPr="00D67EC3">
              <w:rPr>
                <w:rFonts w:asciiTheme="minorHAnsi" w:hAnsiTheme="minorHAnsi"/>
                <w:spacing w:val="-19"/>
                <w:sz w:val="20"/>
                <w:szCs w:val="20"/>
              </w:rPr>
              <w:t xml:space="preserve"> </w:t>
            </w:r>
            <w:r w:rsidRPr="00D67EC3">
              <w:rPr>
                <w:rFonts w:asciiTheme="minorHAnsi" w:hAnsiTheme="minorHAnsi"/>
                <w:sz w:val="20"/>
                <w:szCs w:val="20"/>
              </w:rPr>
              <w:t>725</w:t>
            </w:r>
            <w:r w:rsidRPr="00D67EC3">
              <w:rPr>
                <w:rFonts w:asciiTheme="minorHAnsi" w:hAnsiTheme="minorHAnsi"/>
                <w:spacing w:val="-19"/>
                <w:sz w:val="20"/>
                <w:szCs w:val="20"/>
              </w:rPr>
              <w:t xml:space="preserve"> </w:t>
            </w:r>
            <w:r w:rsidRPr="00D67EC3">
              <w:rPr>
                <w:rFonts w:asciiTheme="minorHAnsi" w:hAnsiTheme="minorHAnsi"/>
                <w:sz w:val="20"/>
                <w:szCs w:val="20"/>
              </w:rPr>
              <w:t>552)</w:t>
            </w:r>
          </w:p>
        </w:tc>
        <w:tc>
          <w:tcPr>
            <w:tcW w:w="90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2E0FF3A5" w14:textId="77777777" w:rsidR="00EE233E" w:rsidRPr="00D67EC3" w:rsidRDefault="00EE233E">
            <w:pPr>
              <w:pStyle w:val="03boxarticolo"/>
              <w:rPr>
                <w:rFonts w:asciiTheme="minorHAnsi" w:hAnsiTheme="minorHAnsi"/>
                <w:sz w:val="20"/>
                <w:szCs w:val="20"/>
              </w:rPr>
            </w:pPr>
            <w:r w:rsidRPr="00D67EC3">
              <w:rPr>
                <w:rFonts w:asciiTheme="minorHAnsi" w:hAnsiTheme="minorHAnsi"/>
                <w:sz w:val="20"/>
                <w:szCs w:val="20"/>
              </w:rPr>
              <w:t>11</w:t>
            </w:r>
            <w:r w:rsidRPr="00D67EC3">
              <w:rPr>
                <w:rFonts w:asciiTheme="minorHAnsi" w:hAnsiTheme="minorHAnsi"/>
                <w:spacing w:val="-19"/>
                <w:sz w:val="20"/>
                <w:szCs w:val="20"/>
              </w:rPr>
              <w:t xml:space="preserve"> </w:t>
            </w:r>
            <w:r w:rsidRPr="00D67EC3">
              <w:rPr>
                <w:rFonts w:asciiTheme="minorHAnsi" w:hAnsiTheme="minorHAnsi"/>
                <w:sz w:val="20"/>
                <w:szCs w:val="20"/>
              </w:rPr>
              <w:t>402</w:t>
            </w:r>
          </w:p>
        </w:tc>
        <w:tc>
          <w:tcPr>
            <w:tcW w:w="1868" w:type="dxa"/>
            <w:vMerge/>
            <w:tcBorders>
              <w:top w:val="single" w:sz="8" w:space="0" w:color="000000"/>
              <w:left w:val="single" w:sz="2" w:space="0" w:color="000000"/>
              <w:bottom w:val="single" w:sz="8" w:space="0" w:color="000000"/>
              <w:right w:val="single" w:sz="2" w:space="0" w:color="000000"/>
            </w:tcBorders>
          </w:tcPr>
          <w:p w14:paraId="3502DBAE" w14:textId="77777777" w:rsidR="00EE233E" w:rsidRPr="00D67EC3" w:rsidRDefault="00EE233E">
            <w:pPr>
              <w:pStyle w:val="NoParagraphStyle"/>
              <w:spacing w:line="240" w:lineRule="auto"/>
              <w:textAlignment w:val="auto"/>
              <w:rPr>
                <w:rFonts w:asciiTheme="minorHAnsi" w:hAnsiTheme="minorHAnsi"/>
                <w:color w:val="auto"/>
                <w:sz w:val="20"/>
                <w:szCs w:val="20"/>
              </w:rPr>
            </w:pPr>
          </w:p>
        </w:tc>
      </w:tr>
      <w:tr w:rsidR="00EE233E" w:rsidRPr="00D67EC3" w14:paraId="6A66831C" w14:textId="77777777">
        <w:trPr>
          <w:trHeight w:val="60"/>
        </w:trPr>
        <w:tc>
          <w:tcPr>
            <w:tcW w:w="2889"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5F1CF297" w14:textId="77777777" w:rsidR="00EE233E" w:rsidRPr="00D67EC3" w:rsidRDefault="00EE233E">
            <w:pPr>
              <w:pStyle w:val="03boxarticolo"/>
              <w:jc w:val="right"/>
              <w:rPr>
                <w:rFonts w:asciiTheme="minorHAnsi" w:hAnsiTheme="minorHAnsi"/>
                <w:sz w:val="20"/>
                <w:szCs w:val="20"/>
              </w:rPr>
            </w:pPr>
            <w:r w:rsidRPr="00D67EC3">
              <w:rPr>
                <w:rFonts w:asciiTheme="minorHAnsi" w:hAnsiTheme="minorHAnsi"/>
                <w:sz w:val="20"/>
                <w:szCs w:val="20"/>
              </w:rPr>
              <w:t>Finlandia (5</w:t>
            </w:r>
            <w:r w:rsidRPr="00D67EC3">
              <w:rPr>
                <w:rFonts w:asciiTheme="minorHAnsi" w:hAnsiTheme="minorHAnsi"/>
                <w:spacing w:val="-19"/>
                <w:sz w:val="20"/>
                <w:szCs w:val="20"/>
              </w:rPr>
              <w:t xml:space="preserve"> </w:t>
            </w:r>
            <w:r w:rsidRPr="00D67EC3">
              <w:rPr>
                <w:rFonts w:asciiTheme="minorHAnsi" w:hAnsiTheme="minorHAnsi"/>
                <w:sz w:val="20"/>
                <w:szCs w:val="20"/>
              </w:rPr>
              <w:t>426</w:t>
            </w:r>
            <w:r w:rsidRPr="00D67EC3">
              <w:rPr>
                <w:rFonts w:asciiTheme="minorHAnsi" w:hAnsiTheme="minorHAnsi"/>
                <w:spacing w:val="-19"/>
                <w:sz w:val="20"/>
                <w:szCs w:val="20"/>
              </w:rPr>
              <w:t xml:space="preserve"> </w:t>
            </w:r>
            <w:r w:rsidRPr="00D67EC3">
              <w:rPr>
                <w:rFonts w:asciiTheme="minorHAnsi" w:hAnsiTheme="minorHAnsi"/>
                <w:sz w:val="20"/>
                <w:szCs w:val="20"/>
              </w:rPr>
              <w:t>323)</w:t>
            </w:r>
          </w:p>
        </w:tc>
        <w:tc>
          <w:tcPr>
            <w:tcW w:w="90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749383F0" w14:textId="77777777" w:rsidR="00EE233E" w:rsidRPr="00D67EC3" w:rsidRDefault="00EE233E">
            <w:pPr>
              <w:pStyle w:val="03boxarticolo"/>
              <w:rPr>
                <w:rFonts w:asciiTheme="minorHAnsi" w:hAnsiTheme="minorHAnsi"/>
                <w:sz w:val="20"/>
                <w:szCs w:val="20"/>
              </w:rPr>
            </w:pPr>
            <w:r w:rsidRPr="00D67EC3">
              <w:rPr>
                <w:rFonts w:asciiTheme="minorHAnsi" w:hAnsiTheme="minorHAnsi"/>
                <w:sz w:val="20"/>
                <w:szCs w:val="20"/>
              </w:rPr>
              <w:t>9919</w:t>
            </w:r>
          </w:p>
        </w:tc>
        <w:tc>
          <w:tcPr>
            <w:tcW w:w="1868" w:type="dxa"/>
            <w:vMerge/>
            <w:tcBorders>
              <w:top w:val="single" w:sz="8" w:space="0" w:color="000000"/>
              <w:left w:val="single" w:sz="2" w:space="0" w:color="000000"/>
              <w:bottom w:val="single" w:sz="8" w:space="0" w:color="000000"/>
              <w:right w:val="single" w:sz="2" w:space="0" w:color="000000"/>
            </w:tcBorders>
          </w:tcPr>
          <w:p w14:paraId="5A397C68" w14:textId="77777777" w:rsidR="00EE233E" w:rsidRPr="00D67EC3" w:rsidRDefault="00EE233E">
            <w:pPr>
              <w:pStyle w:val="NoParagraphStyle"/>
              <w:spacing w:line="240" w:lineRule="auto"/>
              <w:textAlignment w:val="auto"/>
              <w:rPr>
                <w:rFonts w:asciiTheme="minorHAnsi" w:hAnsiTheme="minorHAnsi"/>
                <w:color w:val="auto"/>
                <w:sz w:val="20"/>
                <w:szCs w:val="20"/>
              </w:rPr>
            </w:pPr>
          </w:p>
        </w:tc>
      </w:tr>
      <w:tr w:rsidR="00EE233E" w:rsidRPr="00D67EC3" w14:paraId="7BF33559" w14:textId="77777777">
        <w:trPr>
          <w:trHeight w:val="60"/>
        </w:trPr>
        <w:tc>
          <w:tcPr>
            <w:tcW w:w="2889"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79C0C77F" w14:textId="77777777" w:rsidR="00EE233E" w:rsidRPr="00D67EC3" w:rsidRDefault="00EE233E">
            <w:pPr>
              <w:pStyle w:val="03boxarticolo"/>
              <w:jc w:val="right"/>
              <w:rPr>
                <w:rFonts w:asciiTheme="minorHAnsi" w:hAnsiTheme="minorHAnsi"/>
                <w:sz w:val="20"/>
                <w:szCs w:val="20"/>
              </w:rPr>
            </w:pPr>
            <w:r w:rsidRPr="00D67EC3">
              <w:rPr>
                <w:rFonts w:asciiTheme="minorHAnsi" w:hAnsiTheme="minorHAnsi"/>
                <w:sz w:val="20"/>
                <w:szCs w:val="20"/>
              </w:rPr>
              <w:t>Francia (67</w:t>
            </w:r>
            <w:r w:rsidRPr="00D67EC3">
              <w:rPr>
                <w:rFonts w:asciiTheme="minorHAnsi" w:hAnsiTheme="minorHAnsi"/>
                <w:spacing w:val="-19"/>
                <w:sz w:val="20"/>
                <w:szCs w:val="20"/>
              </w:rPr>
              <w:t xml:space="preserve"> </w:t>
            </w:r>
            <w:r w:rsidRPr="00D67EC3">
              <w:rPr>
                <w:rFonts w:asciiTheme="minorHAnsi" w:hAnsiTheme="minorHAnsi"/>
                <w:sz w:val="20"/>
                <w:szCs w:val="20"/>
              </w:rPr>
              <w:t>060</w:t>
            </w:r>
            <w:r w:rsidRPr="00D67EC3">
              <w:rPr>
                <w:rFonts w:asciiTheme="minorHAnsi" w:hAnsiTheme="minorHAnsi"/>
                <w:spacing w:val="-19"/>
                <w:sz w:val="20"/>
                <w:szCs w:val="20"/>
              </w:rPr>
              <w:t xml:space="preserve"> </w:t>
            </w:r>
            <w:r w:rsidRPr="00D67EC3">
              <w:rPr>
                <w:rFonts w:asciiTheme="minorHAnsi" w:hAnsiTheme="minorHAnsi"/>
                <w:sz w:val="20"/>
                <w:szCs w:val="20"/>
              </w:rPr>
              <w:t>158)</w:t>
            </w:r>
          </w:p>
        </w:tc>
        <w:tc>
          <w:tcPr>
            <w:tcW w:w="90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73B25CC7" w14:textId="77777777" w:rsidR="00EE233E" w:rsidRPr="00D67EC3" w:rsidRDefault="00EE233E">
            <w:pPr>
              <w:pStyle w:val="03boxarticolo"/>
              <w:rPr>
                <w:rFonts w:asciiTheme="minorHAnsi" w:hAnsiTheme="minorHAnsi"/>
                <w:sz w:val="20"/>
                <w:szCs w:val="20"/>
              </w:rPr>
            </w:pPr>
            <w:r w:rsidRPr="00D67EC3">
              <w:rPr>
                <w:rFonts w:asciiTheme="minorHAnsi" w:hAnsiTheme="minorHAnsi"/>
                <w:sz w:val="20"/>
                <w:szCs w:val="20"/>
              </w:rPr>
              <w:t>217</w:t>
            </w:r>
            <w:r w:rsidRPr="00D67EC3">
              <w:rPr>
                <w:rFonts w:asciiTheme="minorHAnsi" w:hAnsiTheme="minorHAnsi"/>
                <w:spacing w:val="-19"/>
                <w:sz w:val="20"/>
                <w:szCs w:val="20"/>
              </w:rPr>
              <w:t xml:space="preserve"> </w:t>
            </w:r>
            <w:r w:rsidRPr="00D67EC3">
              <w:rPr>
                <w:rFonts w:asciiTheme="minorHAnsi" w:hAnsiTheme="minorHAnsi"/>
                <w:sz w:val="20"/>
                <w:szCs w:val="20"/>
              </w:rPr>
              <w:t>865</w:t>
            </w:r>
          </w:p>
        </w:tc>
        <w:tc>
          <w:tcPr>
            <w:tcW w:w="1868" w:type="dxa"/>
            <w:vMerge/>
            <w:tcBorders>
              <w:top w:val="single" w:sz="8" w:space="0" w:color="000000"/>
              <w:left w:val="single" w:sz="2" w:space="0" w:color="000000"/>
              <w:bottom w:val="single" w:sz="8" w:space="0" w:color="000000"/>
              <w:right w:val="single" w:sz="2" w:space="0" w:color="000000"/>
            </w:tcBorders>
          </w:tcPr>
          <w:p w14:paraId="1C9E320F" w14:textId="77777777" w:rsidR="00EE233E" w:rsidRPr="00D67EC3" w:rsidRDefault="00EE233E">
            <w:pPr>
              <w:pStyle w:val="NoParagraphStyle"/>
              <w:spacing w:line="240" w:lineRule="auto"/>
              <w:textAlignment w:val="auto"/>
              <w:rPr>
                <w:rFonts w:asciiTheme="minorHAnsi" w:hAnsiTheme="minorHAnsi"/>
                <w:color w:val="auto"/>
                <w:sz w:val="20"/>
                <w:szCs w:val="20"/>
              </w:rPr>
            </w:pPr>
          </w:p>
        </w:tc>
      </w:tr>
      <w:tr w:rsidR="00EE233E" w:rsidRPr="00D67EC3" w14:paraId="5F64897A" w14:textId="77777777">
        <w:trPr>
          <w:trHeight w:val="60"/>
        </w:trPr>
        <w:tc>
          <w:tcPr>
            <w:tcW w:w="2889"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3C52979C" w14:textId="77777777" w:rsidR="00EE233E" w:rsidRPr="00D67EC3" w:rsidRDefault="00EE233E">
            <w:pPr>
              <w:pStyle w:val="03boxarticolo"/>
              <w:jc w:val="right"/>
              <w:rPr>
                <w:rFonts w:asciiTheme="minorHAnsi" w:hAnsiTheme="minorHAnsi"/>
                <w:sz w:val="20"/>
                <w:szCs w:val="20"/>
              </w:rPr>
            </w:pPr>
            <w:r w:rsidRPr="00D67EC3">
              <w:rPr>
                <w:rFonts w:asciiTheme="minorHAnsi" w:hAnsiTheme="minorHAnsi"/>
                <w:sz w:val="20"/>
                <w:szCs w:val="20"/>
              </w:rPr>
              <w:t>Germania (82</w:t>
            </w:r>
            <w:r w:rsidRPr="00D67EC3">
              <w:rPr>
                <w:rFonts w:asciiTheme="minorHAnsi" w:hAnsiTheme="minorHAnsi"/>
                <w:spacing w:val="-19"/>
                <w:sz w:val="20"/>
                <w:szCs w:val="20"/>
              </w:rPr>
              <w:t xml:space="preserve"> </w:t>
            </w:r>
            <w:r w:rsidRPr="00D67EC3">
              <w:rPr>
                <w:rFonts w:asciiTheme="minorHAnsi" w:hAnsiTheme="minorHAnsi"/>
                <w:sz w:val="20"/>
                <w:szCs w:val="20"/>
              </w:rPr>
              <w:t>726</w:t>
            </w:r>
            <w:r w:rsidRPr="00D67EC3">
              <w:rPr>
                <w:rFonts w:asciiTheme="minorHAnsi" w:hAnsiTheme="minorHAnsi"/>
                <w:spacing w:val="-19"/>
                <w:sz w:val="20"/>
                <w:szCs w:val="20"/>
              </w:rPr>
              <w:t xml:space="preserve"> </w:t>
            </w:r>
            <w:r w:rsidRPr="00D67EC3">
              <w:rPr>
                <w:rFonts w:asciiTheme="minorHAnsi" w:hAnsiTheme="minorHAnsi"/>
                <w:sz w:val="20"/>
                <w:szCs w:val="20"/>
              </w:rPr>
              <w:t>626)</w:t>
            </w:r>
          </w:p>
        </w:tc>
        <w:tc>
          <w:tcPr>
            <w:tcW w:w="90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478F1450" w14:textId="77777777" w:rsidR="00EE233E" w:rsidRPr="00D67EC3" w:rsidRDefault="00EE233E">
            <w:pPr>
              <w:pStyle w:val="03boxarticolo"/>
              <w:rPr>
                <w:rFonts w:asciiTheme="minorHAnsi" w:hAnsiTheme="minorHAnsi"/>
                <w:sz w:val="20"/>
                <w:szCs w:val="20"/>
              </w:rPr>
            </w:pPr>
            <w:r w:rsidRPr="00D67EC3">
              <w:rPr>
                <w:rFonts w:asciiTheme="minorHAnsi" w:hAnsiTheme="minorHAnsi"/>
                <w:sz w:val="20"/>
                <w:szCs w:val="20"/>
              </w:rPr>
              <w:t>589</w:t>
            </w:r>
            <w:r w:rsidRPr="00D67EC3">
              <w:rPr>
                <w:rFonts w:asciiTheme="minorHAnsi" w:hAnsiTheme="minorHAnsi"/>
                <w:spacing w:val="-19"/>
                <w:sz w:val="20"/>
                <w:szCs w:val="20"/>
              </w:rPr>
              <w:t xml:space="preserve"> </w:t>
            </w:r>
            <w:r w:rsidRPr="00D67EC3">
              <w:rPr>
                <w:rFonts w:asciiTheme="minorHAnsi" w:hAnsiTheme="minorHAnsi"/>
                <w:sz w:val="20"/>
                <w:szCs w:val="20"/>
              </w:rPr>
              <w:t>737</w:t>
            </w:r>
          </w:p>
        </w:tc>
        <w:tc>
          <w:tcPr>
            <w:tcW w:w="1868" w:type="dxa"/>
            <w:vMerge/>
            <w:tcBorders>
              <w:top w:val="single" w:sz="8" w:space="0" w:color="000000"/>
              <w:left w:val="single" w:sz="2" w:space="0" w:color="000000"/>
              <w:bottom w:val="single" w:sz="8" w:space="0" w:color="000000"/>
              <w:right w:val="single" w:sz="2" w:space="0" w:color="000000"/>
            </w:tcBorders>
          </w:tcPr>
          <w:p w14:paraId="570B1654" w14:textId="77777777" w:rsidR="00EE233E" w:rsidRPr="00D67EC3" w:rsidRDefault="00EE233E">
            <w:pPr>
              <w:pStyle w:val="NoParagraphStyle"/>
              <w:spacing w:line="240" w:lineRule="auto"/>
              <w:textAlignment w:val="auto"/>
              <w:rPr>
                <w:rFonts w:asciiTheme="minorHAnsi" w:hAnsiTheme="minorHAnsi"/>
                <w:color w:val="auto"/>
                <w:sz w:val="20"/>
                <w:szCs w:val="20"/>
              </w:rPr>
            </w:pPr>
          </w:p>
        </w:tc>
      </w:tr>
      <w:tr w:rsidR="00EE233E" w:rsidRPr="00D67EC3" w14:paraId="4A098FB7" w14:textId="77777777">
        <w:trPr>
          <w:trHeight w:val="60"/>
        </w:trPr>
        <w:tc>
          <w:tcPr>
            <w:tcW w:w="2889"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2EFAFBEA" w14:textId="77777777" w:rsidR="00EE233E" w:rsidRPr="00D67EC3" w:rsidRDefault="00EE233E">
            <w:pPr>
              <w:pStyle w:val="03boxarticolo"/>
              <w:jc w:val="right"/>
              <w:rPr>
                <w:rFonts w:asciiTheme="minorHAnsi" w:hAnsiTheme="minorHAnsi"/>
                <w:sz w:val="20"/>
                <w:szCs w:val="20"/>
              </w:rPr>
            </w:pPr>
            <w:r w:rsidRPr="00D67EC3">
              <w:rPr>
                <w:rFonts w:asciiTheme="minorHAnsi" w:hAnsiTheme="minorHAnsi"/>
                <w:sz w:val="20"/>
                <w:szCs w:val="20"/>
              </w:rPr>
              <w:t>Grecia (11</w:t>
            </w:r>
            <w:r w:rsidRPr="00D67EC3">
              <w:rPr>
                <w:rFonts w:asciiTheme="minorHAnsi" w:hAnsiTheme="minorHAnsi"/>
                <w:spacing w:val="-19"/>
                <w:sz w:val="20"/>
                <w:szCs w:val="20"/>
              </w:rPr>
              <w:t xml:space="preserve"> </w:t>
            </w:r>
            <w:r w:rsidRPr="00D67EC3">
              <w:rPr>
                <w:rFonts w:asciiTheme="minorHAnsi" w:hAnsiTheme="minorHAnsi"/>
                <w:sz w:val="20"/>
                <w:szCs w:val="20"/>
              </w:rPr>
              <w:t>127</w:t>
            </w:r>
            <w:r w:rsidRPr="00D67EC3">
              <w:rPr>
                <w:rFonts w:asciiTheme="minorHAnsi" w:hAnsiTheme="minorHAnsi"/>
                <w:spacing w:val="-19"/>
                <w:sz w:val="20"/>
                <w:szCs w:val="20"/>
              </w:rPr>
              <w:t xml:space="preserve"> </w:t>
            </w:r>
            <w:r w:rsidRPr="00D67EC3">
              <w:rPr>
                <w:rFonts w:asciiTheme="minorHAnsi" w:hAnsiTheme="minorHAnsi"/>
                <w:sz w:val="20"/>
                <w:szCs w:val="20"/>
              </w:rPr>
              <w:t>990)</w:t>
            </w:r>
          </w:p>
        </w:tc>
        <w:tc>
          <w:tcPr>
            <w:tcW w:w="90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6D9F1DBE" w14:textId="77777777" w:rsidR="00EE233E" w:rsidRPr="00D67EC3" w:rsidRDefault="00EE233E">
            <w:pPr>
              <w:pStyle w:val="03boxarticolo"/>
              <w:rPr>
                <w:rFonts w:asciiTheme="minorHAnsi" w:hAnsiTheme="minorHAnsi"/>
                <w:sz w:val="20"/>
                <w:szCs w:val="20"/>
              </w:rPr>
            </w:pPr>
            <w:r w:rsidRPr="00D67EC3">
              <w:rPr>
                <w:rFonts w:asciiTheme="minorHAnsi" w:hAnsiTheme="minorHAnsi"/>
                <w:sz w:val="20"/>
                <w:szCs w:val="20"/>
              </w:rPr>
              <w:t>2100</w:t>
            </w:r>
          </w:p>
        </w:tc>
        <w:tc>
          <w:tcPr>
            <w:tcW w:w="1868" w:type="dxa"/>
            <w:vMerge/>
            <w:tcBorders>
              <w:top w:val="single" w:sz="8" w:space="0" w:color="000000"/>
              <w:left w:val="single" w:sz="2" w:space="0" w:color="000000"/>
              <w:bottom w:val="single" w:sz="8" w:space="0" w:color="000000"/>
              <w:right w:val="single" w:sz="2" w:space="0" w:color="000000"/>
            </w:tcBorders>
          </w:tcPr>
          <w:p w14:paraId="0C44E4C8" w14:textId="77777777" w:rsidR="00EE233E" w:rsidRPr="00D67EC3" w:rsidRDefault="00EE233E">
            <w:pPr>
              <w:pStyle w:val="NoParagraphStyle"/>
              <w:spacing w:line="240" w:lineRule="auto"/>
              <w:textAlignment w:val="auto"/>
              <w:rPr>
                <w:rFonts w:asciiTheme="minorHAnsi" w:hAnsiTheme="minorHAnsi"/>
                <w:color w:val="auto"/>
                <w:sz w:val="20"/>
                <w:szCs w:val="20"/>
              </w:rPr>
            </w:pPr>
          </w:p>
        </w:tc>
      </w:tr>
      <w:tr w:rsidR="00EE233E" w:rsidRPr="00D67EC3" w14:paraId="0C957515" w14:textId="77777777">
        <w:trPr>
          <w:trHeight w:val="60"/>
        </w:trPr>
        <w:tc>
          <w:tcPr>
            <w:tcW w:w="2889"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6BDB4F1F" w14:textId="77777777" w:rsidR="00EE233E" w:rsidRPr="00D67EC3" w:rsidRDefault="00EE233E">
            <w:pPr>
              <w:pStyle w:val="03boxarticolo"/>
              <w:jc w:val="right"/>
              <w:rPr>
                <w:rFonts w:asciiTheme="minorHAnsi" w:hAnsiTheme="minorHAnsi"/>
                <w:sz w:val="20"/>
                <w:szCs w:val="20"/>
              </w:rPr>
            </w:pPr>
            <w:r w:rsidRPr="00D67EC3">
              <w:rPr>
                <w:rFonts w:asciiTheme="minorHAnsi" w:hAnsiTheme="minorHAnsi"/>
                <w:sz w:val="20"/>
                <w:szCs w:val="20"/>
              </w:rPr>
              <w:t>Irlanda (4</w:t>
            </w:r>
            <w:r w:rsidRPr="00D67EC3">
              <w:rPr>
                <w:rFonts w:asciiTheme="minorHAnsi" w:hAnsiTheme="minorHAnsi"/>
                <w:spacing w:val="-19"/>
                <w:sz w:val="20"/>
                <w:szCs w:val="20"/>
              </w:rPr>
              <w:t xml:space="preserve"> </w:t>
            </w:r>
            <w:r w:rsidRPr="00D67EC3">
              <w:rPr>
                <w:rFonts w:asciiTheme="minorHAnsi" w:hAnsiTheme="minorHAnsi"/>
                <w:sz w:val="20"/>
                <w:szCs w:val="20"/>
              </w:rPr>
              <w:t>627</w:t>
            </w:r>
            <w:r w:rsidRPr="00D67EC3">
              <w:rPr>
                <w:rFonts w:asciiTheme="minorHAnsi" w:hAnsiTheme="minorHAnsi"/>
                <w:spacing w:val="-19"/>
                <w:sz w:val="20"/>
                <w:szCs w:val="20"/>
              </w:rPr>
              <w:t xml:space="preserve"> </w:t>
            </w:r>
            <w:r w:rsidRPr="00D67EC3">
              <w:rPr>
                <w:rFonts w:asciiTheme="minorHAnsi" w:hAnsiTheme="minorHAnsi"/>
                <w:sz w:val="20"/>
                <w:szCs w:val="20"/>
              </w:rPr>
              <w:t>173)</w:t>
            </w:r>
          </w:p>
        </w:tc>
        <w:tc>
          <w:tcPr>
            <w:tcW w:w="90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57774AD3" w14:textId="77777777" w:rsidR="00EE233E" w:rsidRPr="00D67EC3" w:rsidRDefault="00EE233E">
            <w:pPr>
              <w:pStyle w:val="03boxarticolo"/>
              <w:rPr>
                <w:rFonts w:asciiTheme="minorHAnsi" w:hAnsiTheme="minorHAnsi"/>
                <w:sz w:val="20"/>
                <w:szCs w:val="20"/>
              </w:rPr>
            </w:pPr>
            <w:r w:rsidRPr="00D67EC3">
              <w:rPr>
                <w:rFonts w:asciiTheme="minorHAnsi" w:hAnsiTheme="minorHAnsi"/>
                <w:sz w:val="20"/>
                <w:szCs w:val="20"/>
              </w:rPr>
              <w:t>6327</w:t>
            </w:r>
          </w:p>
        </w:tc>
        <w:tc>
          <w:tcPr>
            <w:tcW w:w="1868" w:type="dxa"/>
            <w:vMerge/>
            <w:tcBorders>
              <w:top w:val="single" w:sz="8" w:space="0" w:color="000000"/>
              <w:left w:val="single" w:sz="2" w:space="0" w:color="000000"/>
              <w:bottom w:val="single" w:sz="8" w:space="0" w:color="000000"/>
              <w:right w:val="single" w:sz="2" w:space="0" w:color="000000"/>
            </w:tcBorders>
          </w:tcPr>
          <w:p w14:paraId="167E7684" w14:textId="77777777" w:rsidR="00EE233E" w:rsidRPr="00D67EC3" w:rsidRDefault="00EE233E">
            <w:pPr>
              <w:pStyle w:val="NoParagraphStyle"/>
              <w:spacing w:line="240" w:lineRule="auto"/>
              <w:textAlignment w:val="auto"/>
              <w:rPr>
                <w:rFonts w:asciiTheme="minorHAnsi" w:hAnsiTheme="minorHAnsi"/>
                <w:color w:val="auto"/>
                <w:sz w:val="20"/>
                <w:szCs w:val="20"/>
              </w:rPr>
            </w:pPr>
          </w:p>
        </w:tc>
      </w:tr>
      <w:tr w:rsidR="00EE233E" w:rsidRPr="00D67EC3" w14:paraId="3FD402AA" w14:textId="77777777">
        <w:trPr>
          <w:trHeight w:val="60"/>
        </w:trPr>
        <w:tc>
          <w:tcPr>
            <w:tcW w:w="2889"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5CB952E9" w14:textId="77777777" w:rsidR="00EE233E" w:rsidRPr="00D67EC3" w:rsidRDefault="00EE233E">
            <w:pPr>
              <w:pStyle w:val="03boxarticolo"/>
              <w:jc w:val="right"/>
              <w:rPr>
                <w:rFonts w:asciiTheme="minorHAnsi" w:hAnsiTheme="minorHAnsi"/>
                <w:sz w:val="20"/>
                <w:szCs w:val="20"/>
              </w:rPr>
            </w:pPr>
            <w:r w:rsidRPr="00D67EC3">
              <w:rPr>
                <w:rFonts w:asciiTheme="minorHAnsi" w:hAnsiTheme="minorHAnsi"/>
                <w:sz w:val="20"/>
                <w:szCs w:val="20"/>
              </w:rPr>
              <w:t>Italia (61</w:t>
            </w:r>
            <w:r w:rsidRPr="00D67EC3">
              <w:rPr>
                <w:rFonts w:asciiTheme="minorHAnsi" w:hAnsiTheme="minorHAnsi"/>
                <w:spacing w:val="-19"/>
                <w:sz w:val="20"/>
                <w:szCs w:val="20"/>
              </w:rPr>
              <w:t xml:space="preserve"> </w:t>
            </w:r>
            <w:r w:rsidRPr="00D67EC3">
              <w:rPr>
                <w:rFonts w:asciiTheme="minorHAnsi" w:hAnsiTheme="minorHAnsi"/>
                <w:sz w:val="20"/>
                <w:szCs w:val="20"/>
              </w:rPr>
              <w:t>990</w:t>
            </w:r>
            <w:r w:rsidRPr="00D67EC3">
              <w:rPr>
                <w:rFonts w:asciiTheme="minorHAnsi" w:hAnsiTheme="minorHAnsi"/>
                <w:spacing w:val="-19"/>
                <w:sz w:val="20"/>
                <w:szCs w:val="20"/>
              </w:rPr>
              <w:t xml:space="preserve"> </w:t>
            </w:r>
            <w:r w:rsidRPr="00D67EC3">
              <w:rPr>
                <w:rFonts w:asciiTheme="minorHAnsi" w:hAnsiTheme="minorHAnsi"/>
                <w:sz w:val="20"/>
                <w:szCs w:val="20"/>
              </w:rPr>
              <w:t>277)</w:t>
            </w:r>
          </w:p>
        </w:tc>
        <w:tc>
          <w:tcPr>
            <w:tcW w:w="90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4CAE9BE5" w14:textId="77777777" w:rsidR="00EE233E" w:rsidRPr="00D67EC3" w:rsidRDefault="00EE233E">
            <w:pPr>
              <w:pStyle w:val="03boxarticolo"/>
              <w:rPr>
                <w:rFonts w:asciiTheme="minorHAnsi" w:hAnsiTheme="minorHAnsi"/>
                <w:sz w:val="20"/>
                <w:szCs w:val="20"/>
              </w:rPr>
            </w:pPr>
            <w:r w:rsidRPr="00D67EC3">
              <w:rPr>
                <w:rFonts w:asciiTheme="minorHAnsi" w:hAnsiTheme="minorHAnsi"/>
                <w:sz w:val="20"/>
                <w:szCs w:val="20"/>
              </w:rPr>
              <w:t>64</w:t>
            </w:r>
            <w:r w:rsidRPr="00D67EC3">
              <w:rPr>
                <w:rFonts w:asciiTheme="minorHAnsi" w:hAnsiTheme="minorHAnsi"/>
                <w:spacing w:val="-19"/>
                <w:sz w:val="20"/>
                <w:szCs w:val="20"/>
              </w:rPr>
              <w:t xml:space="preserve"> </w:t>
            </w:r>
            <w:r w:rsidRPr="00D67EC3">
              <w:rPr>
                <w:rFonts w:asciiTheme="minorHAnsi" w:hAnsiTheme="minorHAnsi"/>
                <w:sz w:val="20"/>
                <w:szCs w:val="20"/>
              </w:rPr>
              <w:t>779</w:t>
            </w:r>
          </w:p>
        </w:tc>
        <w:tc>
          <w:tcPr>
            <w:tcW w:w="1868" w:type="dxa"/>
            <w:vMerge/>
            <w:tcBorders>
              <w:top w:val="single" w:sz="8" w:space="0" w:color="000000"/>
              <w:left w:val="single" w:sz="2" w:space="0" w:color="000000"/>
              <w:bottom w:val="single" w:sz="8" w:space="0" w:color="000000"/>
              <w:right w:val="single" w:sz="2" w:space="0" w:color="000000"/>
            </w:tcBorders>
          </w:tcPr>
          <w:p w14:paraId="619F8591" w14:textId="77777777" w:rsidR="00EE233E" w:rsidRPr="00D67EC3" w:rsidRDefault="00EE233E">
            <w:pPr>
              <w:pStyle w:val="NoParagraphStyle"/>
              <w:spacing w:line="240" w:lineRule="auto"/>
              <w:textAlignment w:val="auto"/>
              <w:rPr>
                <w:rFonts w:asciiTheme="minorHAnsi" w:hAnsiTheme="minorHAnsi"/>
                <w:color w:val="auto"/>
                <w:sz w:val="20"/>
                <w:szCs w:val="20"/>
              </w:rPr>
            </w:pPr>
          </w:p>
        </w:tc>
      </w:tr>
      <w:tr w:rsidR="00EE233E" w:rsidRPr="00D67EC3" w14:paraId="62920E00" w14:textId="77777777">
        <w:trPr>
          <w:trHeight w:val="60"/>
        </w:trPr>
        <w:tc>
          <w:tcPr>
            <w:tcW w:w="2889"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4376F851" w14:textId="77777777" w:rsidR="00EE233E" w:rsidRPr="00D67EC3" w:rsidRDefault="00EE233E">
            <w:pPr>
              <w:pStyle w:val="03boxarticolo"/>
              <w:jc w:val="right"/>
              <w:rPr>
                <w:rFonts w:asciiTheme="minorHAnsi" w:hAnsiTheme="minorHAnsi"/>
                <w:sz w:val="20"/>
                <w:szCs w:val="20"/>
              </w:rPr>
            </w:pPr>
            <w:r w:rsidRPr="00D67EC3">
              <w:rPr>
                <w:rFonts w:asciiTheme="minorHAnsi" w:hAnsiTheme="minorHAnsi"/>
                <w:sz w:val="20"/>
                <w:szCs w:val="20"/>
              </w:rPr>
              <w:t>Lussemburgo (530</w:t>
            </w:r>
            <w:r w:rsidRPr="00D67EC3">
              <w:rPr>
                <w:rFonts w:asciiTheme="minorHAnsi" w:hAnsiTheme="minorHAnsi"/>
                <w:spacing w:val="-19"/>
                <w:sz w:val="20"/>
                <w:szCs w:val="20"/>
              </w:rPr>
              <w:t xml:space="preserve"> </w:t>
            </w:r>
            <w:r w:rsidRPr="00D67EC3">
              <w:rPr>
                <w:rFonts w:asciiTheme="minorHAnsi" w:hAnsiTheme="minorHAnsi"/>
                <w:sz w:val="20"/>
                <w:szCs w:val="20"/>
              </w:rPr>
              <w:t>380)</w:t>
            </w:r>
          </w:p>
        </w:tc>
        <w:tc>
          <w:tcPr>
            <w:tcW w:w="90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46211CFB" w14:textId="77777777" w:rsidR="00EE233E" w:rsidRPr="00D67EC3" w:rsidRDefault="00EE233E">
            <w:pPr>
              <w:pStyle w:val="03boxarticolo"/>
              <w:rPr>
                <w:rFonts w:asciiTheme="minorHAnsi" w:hAnsiTheme="minorHAnsi"/>
                <w:sz w:val="20"/>
                <w:szCs w:val="20"/>
              </w:rPr>
            </w:pPr>
            <w:r w:rsidRPr="00D67EC3">
              <w:rPr>
                <w:rFonts w:asciiTheme="minorHAnsi" w:hAnsiTheme="minorHAnsi"/>
                <w:sz w:val="20"/>
                <w:szCs w:val="20"/>
              </w:rPr>
              <w:t>2910</w:t>
            </w:r>
          </w:p>
        </w:tc>
        <w:tc>
          <w:tcPr>
            <w:tcW w:w="1868" w:type="dxa"/>
            <w:vMerge/>
            <w:tcBorders>
              <w:top w:val="single" w:sz="8" w:space="0" w:color="000000"/>
              <w:left w:val="single" w:sz="2" w:space="0" w:color="000000"/>
              <w:bottom w:val="single" w:sz="8" w:space="0" w:color="000000"/>
              <w:right w:val="single" w:sz="2" w:space="0" w:color="000000"/>
            </w:tcBorders>
          </w:tcPr>
          <w:p w14:paraId="7F61B60D" w14:textId="77777777" w:rsidR="00EE233E" w:rsidRPr="00D67EC3" w:rsidRDefault="00EE233E">
            <w:pPr>
              <w:pStyle w:val="NoParagraphStyle"/>
              <w:spacing w:line="240" w:lineRule="auto"/>
              <w:textAlignment w:val="auto"/>
              <w:rPr>
                <w:rFonts w:asciiTheme="minorHAnsi" w:hAnsiTheme="minorHAnsi"/>
                <w:color w:val="auto"/>
                <w:sz w:val="20"/>
                <w:szCs w:val="20"/>
              </w:rPr>
            </w:pPr>
          </w:p>
        </w:tc>
      </w:tr>
      <w:tr w:rsidR="00EE233E" w:rsidRPr="00D67EC3" w14:paraId="2802ABCC" w14:textId="77777777">
        <w:trPr>
          <w:trHeight w:val="60"/>
        </w:trPr>
        <w:tc>
          <w:tcPr>
            <w:tcW w:w="2889"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18300AD1" w14:textId="77777777" w:rsidR="00EE233E" w:rsidRPr="00D67EC3" w:rsidRDefault="00EE233E">
            <w:pPr>
              <w:pStyle w:val="03boxarticolo"/>
              <w:jc w:val="right"/>
              <w:rPr>
                <w:rFonts w:asciiTheme="minorHAnsi" w:hAnsiTheme="minorHAnsi"/>
                <w:sz w:val="20"/>
                <w:szCs w:val="20"/>
              </w:rPr>
            </w:pPr>
            <w:r w:rsidRPr="00D67EC3">
              <w:rPr>
                <w:rFonts w:asciiTheme="minorHAnsi" w:hAnsiTheme="minorHAnsi"/>
                <w:sz w:val="20"/>
                <w:szCs w:val="20"/>
              </w:rPr>
              <w:t>Malta (429</w:t>
            </w:r>
            <w:r w:rsidRPr="00D67EC3">
              <w:rPr>
                <w:rFonts w:asciiTheme="minorHAnsi" w:hAnsiTheme="minorHAnsi"/>
                <w:spacing w:val="-19"/>
                <w:sz w:val="20"/>
                <w:szCs w:val="20"/>
              </w:rPr>
              <w:t xml:space="preserve"> </w:t>
            </w:r>
            <w:r w:rsidRPr="00D67EC3">
              <w:rPr>
                <w:rFonts w:asciiTheme="minorHAnsi" w:hAnsiTheme="minorHAnsi"/>
                <w:sz w:val="20"/>
                <w:szCs w:val="20"/>
              </w:rPr>
              <w:t>004)</w:t>
            </w:r>
          </w:p>
        </w:tc>
        <w:tc>
          <w:tcPr>
            <w:tcW w:w="90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061BAE39" w14:textId="77777777" w:rsidR="00EE233E" w:rsidRPr="00D67EC3" w:rsidRDefault="00EE233E">
            <w:pPr>
              <w:pStyle w:val="03boxarticolo"/>
              <w:rPr>
                <w:rFonts w:asciiTheme="minorHAnsi" w:hAnsiTheme="minorHAnsi"/>
                <w:sz w:val="20"/>
                <w:szCs w:val="20"/>
              </w:rPr>
            </w:pPr>
            <w:r w:rsidRPr="00D67EC3">
              <w:rPr>
                <w:rFonts w:asciiTheme="minorHAnsi" w:hAnsiTheme="minorHAnsi"/>
                <w:sz w:val="20"/>
                <w:szCs w:val="20"/>
              </w:rPr>
              <w:t>8248</w:t>
            </w:r>
          </w:p>
        </w:tc>
        <w:tc>
          <w:tcPr>
            <w:tcW w:w="1868" w:type="dxa"/>
            <w:vMerge/>
            <w:tcBorders>
              <w:top w:val="single" w:sz="8" w:space="0" w:color="000000"/>
              <w:left w:val="single" w:sz="2" w:space="0" w:color="000000"/>
              <w:bottom w:val="single" w:sz="8" w:space="0" w:color="000000"/>
              <w:right w:val="single" w:sz="2" w:space="0" w:color="000000"/>
            </w:tcBorders>
          </w:tcPr>
          <w:p w14:paraId="6EF78052" w14:textId="77777777" w:rsidR="00EE233E" w:rsidRPr="00D67EC3" w:rsidRDefault="00EE233E">
            <w:pPr>
              <w:pStyle w:val="NoParagraphStyle"/>
              <w:spacing w:line="240" w:lineRule="auto"/>
              <w:textAlignment w:val="auto"/>
              <w:rPr>
                <w:rFonts w:asciiTheme="minorHAnsi" w:hAnsiTheme="minorHAnsi"/>
                <w:color w:val="auto"/>
                <w:sz w:val="20"/>
                <w:szCs w:val="20"/>
              </w:rPr>
            </w:pPr>
          </w:p>
        </w:tc>
      </w:tr>
      <w:tr w:rsidR="00EE233E" w:rsidRPr="00D67EC3" w14:paraId="096D5F5D" w14:textId="77777777">
        <w:trPr>
          <w:trHeight w:val="60"/>
        </w:trPr>
        <w:tc>
          <w:tcPr>
            <w:tcW w:w="2889"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09857B11" w14:textId="77777777" w:rsidR="00EE233E" w:rsidRPr="00D67EC3" w:rsidRDefault="00EE233E">
            <w:pPr>
              <w:pStyle w:val="03boxarticolo"/>
              <w:jc w:val="right"/>
              <w:rPr>
                <w:rFonts w:asciiTheme="minorHAnsi" w:hAnsiTheme="minorHAnsi"/>
                <w:sz w:val="20"/>
                <w:szCs w:val="20"/>
              </w:rPr>
            </w:pPr>
            <w:r w:rsidRPr="00D67EC3">
              <w:rPr>
                <w:rFonts w:asciiTheme="minorHAnsi" w:hAnsiTheme="minorHAnsi"/>
                <w:sz w:val="20"/>
                <w:szCs w:val="20"/>
              </w:rPr>
              <w:t>Paesi Bassi (17</w:t>
            </w:r>
            <w:r w:rsidRPr="00D67EC3">
              <w:rPr>
                <w:rFonts w:asciiTheme="minorHAnsi" w:hAnsiTheme="minorHAnsi"/>
                <w:spacing w:val="-19"/>
                <w:sz w:val="20"/>
                <w:szCs w:val="20"/>
              </w:rPr>
              <w:t xml:space="preserve"> </w:t>
            </w:r>
            <w:r w:rsidRPr="00D67EC3">
              <w:rPr>
                <w:rFonts w:asciiTheme="minorHAnsi" w:hAnsiTheme="minorHAnsi"/>
                <w:sz w:val="20"/>
                <w:szCs w:val="20"/>
              </w:rPr>
              <w:t>085</w:t>
            </w:r>
            <w:r w:rsidRPr="00D67EC3">
              <w:rPr>
                <w:rFonts w:asciiTheme="minorHAnsi" w:hAnsiTheme="minorHAnsi"/>
                <w:spacing w:val="-19"/>
                <w:sz w:val="20"/>
                <w:szCs w:val="20"/>
              </w:rPr>
              <w:t xml:space="preserve"> </w:t>
            </w:r>
            <w:r w:rsidRPr="00D67EC3">
              <w:rPr>
                <w:rFonts w:asciiTheme="minorHAnsi" w:hAnsiTheme="minorHAnsi"/>
                <w:sz w:val="20"/>
                <w:szCs w:val="20"/>
              </w:rPr>
              <w:t>263)</w:t>
            </w:r>
          </w:p>
        </w:tc>
        <w:tc>
          <w:tcPr>
            <w:tcW w:w="90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60CEF95D" w14:textId="77777777" w:rsidR="00EE233E" w:rsidRPr="00D67EC3" w:rsidRDefault="00EE233E">
            <w:pPr>
              <w:pStyle w:val="03boxarticolo"/>
              <w:rPr>
                <w:rFonts w:asciiTheme="minorHAnsi" w:hAnsiTheme="minorHAnsi"/>
                <w:sz w:val="20"/>
                <w:szCs w:val="20"/>
              </w:rPr>
            </w:pPr>
            <w:r w:rsidRPr="00D67EC3">
              <w:rPr>
                <w:rFonts w:asciiTheme="minorHAnsi" w:hAnsiTheme="minorHAnsi"/>
                <w:sz w:val="20"/>
                <w:szCs w:val="20"/>
              </w:rPr>
              <w:t>74</w:t>
            </w:r>
            <w:r w:rsidRPr="00D67EC3">
              <w:rPr>
                <w:rFonts w:asciiTheme="minorHAnsi" w:hAnsiTheme="minorHAnsi"/>
                <w:spacing w:val="-19"/>
                <w:sz w:val="20"/>
                <w:szCs w:val="20"/>
              </w:rPr>
              <w:t xml:space="preserve"> </w:t>
            </w:r>
            <w:r w:rsidRPr="00D67EC3">
              <w:rPr>
                <w:rFonts w:asciiTheme="minorHAnsi" w:hAnsiTheme="minorHAnsi"/>
                <w:sz w:val="20"/>
                <w:szCs w:val="20"/>
              </w:rPr>
              <w:t>598</w:t>
            </w:r>
          </w:p>
        </w:tc>
        <w:tc>
          <w:tcPr>
            <w:tcW w:w="1868" w:type="dxa"/>
            <w:vMerge/>
            <w:tcBorders>
              <w:top w:val="single" w:sz="8" w:space="0" w:color="000000"/>
              <w:left w:val="single" w:sz="2" w:space="0" w:color="000000"/>
              <w:bottom w:val="single" w:sz="8" w:space="0" w:color="000000"/>
              <w:right w:val="single" w:sz="2" w:space="0" w:color="000000"/>
            </w:tcBorders>
          </w:tcPr>
          <w:p w14:paraId="7F415BD8" w14:textId="77777777" w:rsidR="00EE233E" w:rsidRPr="00D67EC3" w:rsidRDefault="00EE233E">
            <w:pPr>
              <w:pStyle w:val="NoParagraphStyle"/>
              <w:spacing w:line="240" w:lineRule="auto"/>
              <w:textAlignment w:val="auto"/>
              <w:rPr>
                <w:rFonts w:asciiTheme="minorHAnsi" w:hAnsiTheme="minorHAnsi"/>
                <w:color w:val="auto"/>
                <w:sz w:val="20"/>
                <w:szCs w:val="20"/>
              </w:rPr>
            </w:pPr>
          </w:p>
        </w:tc>
      </w:tr>
      <w:tr w:rsidR="00EE233E" w:rsidRPr="00D67EC3" w14:paraId="134A5CB8" w14:textId="77777777">
        <w:trPr>
          <w:trHeight w:val="60"/>
        </w:trPr>
        <w:tc>
          <w:tcPr>
            <w:tcW w:w="2889"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43F029DC" w14:textId="77777777" w:rsidR="00EE233E" w:rsidRPr="00D67EC3" w:rsidRDefault="00EE233E">
            <w:pPr>
              <w:pStyle w:val="03boxarticolo"/>
              <w:jc w:val="right"/>
              <w:rPr>
                <w:rFonts w:asciiTheme="minorHAnsi" w:hAnsiTheme="minorHAnsi"/>
                <w:sz w:val="20"/>
                <w:szCs w:val="20"/>
              </w:rPr>
            </w:pPr>
            <w:r w:rsidRPr="00D67EC3">
              <w:rPr>
                <w:rFonts w:asciiTheme="minorHAnsi" w:hAnsiTheme="minorHAnsi"/>
                <w:sz w:val="20"/>
                <w:szCs w:val="20"/>
              </w:rPr>
              <w:t>Norvegia (5</w:t>
            </w:r>
            <w:r w:rsidRPr="00D67EC3">
              <w:rPr>
                <w:rFonts w:asciiTheme="minorHAnsi" w:hAnsiTheme="minorHAnsi"/>
                <w:spacing w:val="-19"/>
                <w:sz w:val="20"/>
                <w:szCs w:val="20"/>
              </w:rPr>
              <w:t xml:space="preserve"> </w:t>
            </w:r>
            <w:r w:rsidRPr="00D67EC3">
              <w:rPr>
                <w:rFonts w:asciiTheme="minorHAnsi" w:hAnsiTheme="minorHAnsi"/>
                <w:sz w:val="20"/>
                <w:szCs w:val="20"/>
              </w:rPr>
              <w:t>042</w:t>
            </w:r>
            <w:r w:rsidRPr="00D67EC3">
              <w:rPr>
                <w:rFonts w:asciiTheme="minorHAnsi" w:hAnsiTheme="minorHAnsi"/>
                <w:spacing w:val="-19"/>
                <w:sz w:val="20"/>
                <w:szCs w:val="20"/>
              </w:rPr>
              <w:t xml:space="preserve"> </w:t>
            </w:r>
            <w:r w:rsidRPr="00D67EC3">
              <w:rPr>
                <w:rFonts w:asciiTheme="minorHAnsi" w:hAnsiTheme="minorHAnsi"/>
                <w:sz w:val="20"/>
                <w:szCs w:val="20"/>
              </w:rPr>
              <w:t>671)</w:t>
            </w:r>
          </w:p>
        </w:tc>
        <w:tc>
          <w:tcPr>
            <w:tcW w:w="90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6F82A3CD" w14:textId="77777777" w:rsidR="00EE233E" w:rsidRPr="00D67EC3" w:rsidRDefault="00EE233E">
            <w:pPr>
              <w:pStyle w:val="03boxarticolo"/>
              <w:rPr>
                <w:rFonts w:asciiTheme="minorHAnsi" w:hAnsiTheme="minorHAnsi"/>
                <w:sz w:val="20"/>
                <w:szCs w:val="20"/>
              </w:rPr>
            </w:pPr>
            <w:r w:rsidRPr="00D67EC3">
              <w:rPr>
                <w:rFonts w:asciiTheme="minorHAnsi" w:hAnsiTheme="minorHAnsi"/>
                <w:sz w:val="20"/>
                <w:szCs w:val="20"/>
              </w:rPr>
              <w:t>42</w:t>
            </w:r>
            <w:r w:rsidRPr="00D67EC3">
              <w:rPr>
                <w:rFonts w:asciiTheme="minorHAnsi" w:hAnsiTheme="minorHAnsi"/>
                <w:spacing w:val="-19"/>
                <w:sz w:val="20"/>
                <w:szCs w:val="20"/>
              </w:rPr>
              <w:t xml:space="preserve"> </w:t>
            </w:r>
            <w:r w:rsidRPr="00D67EC3">
              <w:rPr>
                <w:rFonts w:asciiTheme="minorHAnsi" w:hAnsiTheme="minorHAnsi"/>
                <w:sz w:val="20"/>
                <w:szCs w:val="20"/>
              </w:rPr>
              <w:t>822</w:t>
            </w:r>
          </w:p>
        </w:tc>
        <w:tc>
          <w:tcPr>
            <w:tcW w:w="1868" w:type="dxa"/>
            <w:vMerge/>
            <w:tcBorders>
              <w:top w:val="single" w:sz="8" w:space="0" w:color="000000"/>
              <w:left w:val="single" w:sz="2" w:space="0" w:color="000000"/>
              <w:bottom w:val="single" w:sz="8" w:space="0" w:color="000000"/>
              <w:right w:val="single" w:sz="2" w:space="0" w:color="000000"/>
            </w:tcBorders>
          </w:tcPr>
          <w:p w14:paraId="01D2E93C" w14:textId="77777777" w:rsidR="00EE233E" w:rsidRPr="00D67EC3" w:rsidRDefault="00EE233E">
            <w:pPr>
              <w:pStyle w:val="NoParagraphStyle"/>
              <w:spacing w:line="240" w:lineRule="auto"/>
              <w:textAlignment w:val="auto"/>
              <w:rPr>
                <w:rFonts w:asciiTheme="minorHAnsi" w:hAnsiTheme="minorHAnsi"/>
                <w:color w:val="auto"/>
                <w:sz w:val="20"/>
                <w:szCs w:val="20"/>
              </w:rPr>
            </w:pPr>
          </w:p>
        </w:tc>
      </w:tr>
      <w:tr w:rsidR="00EE233E" w:rsidRPr="00D67EC3" w14:paraId="3CF43E04" w14:textId="77777777">
        <w:trPr>
          <w:trHeight w:val="60"/>
        </w:trPr>
        <w:tc>
          <w:tcPr>
            <w:tcW w:w="2889"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26D3C1FC" w14:textId="77777777" w:rsidR="00EE233E" w:rsidRPr="00D67EC3" w:rsidRDefault="00EE233E">
            <w:pPr>
              <w:pStyle w:val="03boxarticolo"/>
              <w:jc w:val="right"/>
              <w:rPr>
                <w:rFonts w:asciiTheme="minorHAnsi" w:hAnsiTheme="minorHAnsi"/>
                <w:sz w:val="20"/>
                <w:szCs w:val="20"/>
              </w:rPr>
            </w:pPr>
            <w:r w:rsidRPr="00D67EC3">
              <w:rPr>
                <w:rFonts w:asciiTheme="minorHAnsi" w:hAnsiTheme="minorHAnsi"/>
                <w:sz w:val="20"/>
                <w:szCs w:val="20"/>
              </w:rPr>
              <w:t>Polonia (38</w:t>
            </w:r>
            <w:r w:rsidRPr="00D67EC3">
              <w:rPr>
                <w:rFonts w:asciiTheme="minorHAnsi" w:hAnsiTheme="minorHAnsi"/>
                <w:spacing w:val="-19"/>
                <w:sz w:val="20"/>
                <w:szCs w:val="20"/>
              </w:rPr>
              <w:t xml:space="preserve"> </w:t>
            </w:r>
            <w:r w:rsidRPr="00D67EC3">
              <w:rPr>
                <w:rFonts w:asciiTheme="minorHAnsi" w:hAnsiTheme="minorHAnsi"/>
                <w:sz w:val="20"/>
                <w:szCs w:val="20"/>
              </w:rPr>
              <w:t>216</w:t>
            </w:r>
            <w:r w:rsidRPr="00D67EC3">
              <w:rPr>
                <w:rFonts w:asciiTheme="minorHAnsi" w:hAnsiTheme="minorHAnsi"/>
                <w:spacing w:val="-19"/>
                <w:sz w:val="20"/>
                <w:szCs w:val="20"/>
              </w:rPr>
              <w:t xml:space="preserve"> </w:t>
            </w:r>
            <w:r w:rsidRPr="00D67EC3">
              <w:rPr>
                <w:rFonts w:asciiTheme="minorHAnsi" w:hAnsiTheme="minorHAnsi"/>
                <w:sz w:val="20"/>
                <w:szCs w:val="20"/>
              </w:rPr>
              <w:t>635)</w:t>
            </w:r>
          </w:p>
        </w:tc>
        <w:tc>
          <w:tcPr>
            <w:tcW w:w="90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24C5A170" w14:textId="77777777" w:rsidR="00EE233E" w:rsidRPr="00D67EC3" w:rsidRDefault="00EE233E">
            <w:pPr>
              <w:pStyle w:val="03boxarticolo"/>
              <w:rPr>
                <w:rFonts w:asciiTheme="minorHAnsi" w:hAnsiTheme="minorHAnsi"/>
                <w:sz w:val="20"/>
                <w:szCs w:val="20"/>
              </w:rPr>
            </w:pPr>
            <w:r w:rsidRPr="00D67EC3">
              <w:rPr>
                <w:rFonts w:asciiTheme="minorHAnsi" w:hAnsiTheme="minorHAnsi"/>
                <w:sz w:val="20"/>
                <w:szCs w:val="20"/>
              </w:rPr>
              <w:t>15</w:t>
            </w:r>
            <w:r w:rsidRPr="00D67EC3">
              <w:rPr>
                <w:rFonts w:asciiTheme="minorHAnsi" w:hAnsiTheme="minorHAnsi"/>
                <w:spacing w:val="-19"/>
                <w:sz w:val="20"/>
                <w:szCs w:val="20"/>
              </w:rPr>
              <w:t xml:space="preserve"> </w:t>
            </w:r>
            <w:r w:rsidRPr="00D67EC3">
              <w:rPr>
                <w:rFonts w:asciiTheme="minorHAnsi" w:hAnsiTheme="minorHAnsi"/>
                <w:sz w:val="20"/>
                <w:szCs w:val="20"/>
              </w:rPr>
              <w:t>911</w:t>
            </w:r>
          </w:p>
        </w:tc>
        <w:tc>
          <w:tcPr>
            <w:tcW w:w="1868" w:type="dxa"/>
            <w:vMerge/>
            <w:tcBorders>
              <w:top w:val="single" w:sz="8" w:space="0" w:color="000000"/>
              <w:left w:val="single" w:sz="2" w:space="0" w:color="000000"/>
              <w:bottom w:val="single" w:sz="8" w:space="0" w:color="000000"/>
              <w:right w:val="single" w:sz="2" w:space="0" w:color="000000"/>
            </w:tcBorders>
          </w:tcPr>
          <w:p w14:paraId="4CCF04B4" w14:textId="77777777" w:rsidR="00EE233E" w:rsidRPr="00D67EC3" w:rsidRDefault="00EE233E">
            <w:pPr>
              <w:pStyle w:val="NoParagraphStyle"/>
              <w:spacing w:line="240" w:lineRule="auto"/>
              <w:textAlignment w:val="auto"/>
              <w:rPr>
                <w:rFonts w:asciiTheme="minorHAnsi" w:hAnsiTheme="minorHAnsi"/>
                <w:color w:val="auto"/>
                <w:sz w:val="20"/>
                <w:szCs w:val="20"/>
              </w:rPr>
            </w:pPr>
          </w:p>
        </w:tc>
      </w:tr>
      <w:tr w:rsidR="00EE233E" w:rsidRPr="00D67EC3" w14:paraId="0A03C3F2" w14:textId="77777777">
        <w:trPr>
          <w:trHeight w:val="60"/>
        </w:trPr>
        <w:tc>
          <w:tcPr>
            <w:tcW w:w="2889"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00FBE404" w14:textId="77777777" w:rsidR="00EE233E" w:rsidRPr="00D67EC3" w:rsidRDefault="00EE233E">
            <w:pPr>
              <w:pStyle w:val="03boxarticolo"/>
              <w:jc w:val="right"/>
              <w:rPr>
                <w:rFonts w:asciiTheme="minorHAnsi" w:hAnsiTheme="minorHAnsi"/>
                <w:sz w:val="20"/>
                <w:szCs w:val="20"/>
              </w:rPr>
            </w:pPr>
            <w:r w:rsidRPr="00D67EC3">
              <w:rPr>
                <w:rFonts w:asciiTheme="minorHAnsi" w:hAnsiTheme="minorHAnsi"/>
                <w:sz w:val="20"/>
                <w:szCs w:val="20"/>
              </w:rPr>
              <w:t>Portogallo (10</w:t>
            </w:r>
            <w:r w:rsidRPr="00D67EC3">
              <w:rPr>
                <w:rFonts w:asciiTheme="minorHAnsi" w:hAnsiTheme="minorHAnsi"/>
                <w:spacing w:val="-19"/>
                <w:sz w:val="20"/>
                <w:szCs w:val="20"/>
              </w:rPr>
              <w:t xml:space="preserve"> </w:t>
            </w:r>
            <w:r w:rsidRPr="00D67EC3">
              <w:rPr>
                <w:rFonts w:asciiTheme="minorHAnsi" w:hAnsiTheme="minorHAnsi"/>
                <w:sz w:val="20"/>
                <w:szCs w:val="20"/>
              </w:rPr>
              <w:t>608</w:t>
            </w:r>
            <w:r w:rsidRPr="00D67EC3">
              <w:rPr>
                <w:rFonts w:asciiTheme="minorHAnsi" w:hAnsiTheme="minorHAnsi"/>
                <w:spacing w:val="-19"/>
                <w:sz w:val="20"/>
                <w:szCs w:val="20"/>
              </w:rPr>
              <w:t xml:space="preserve"> </w:t>
            </w:r>
            <w:r w:rsidRPr="00D67EC3">
              <w:rPr>
                <w:rFonts w:asciiTheme="minorHAnsi" w:hAnsiTheme="minorHAnsi"/>
                <w:sz w:val="20"/>
                <w:szCs w:val="20"/>
              </w:rPr>
              <w:t>156)</w:t>
            </w:r>
          </w:p>
        </w:tc>
        <w:tc>
          <w:tcPr>
            <w:tcW w:w="90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5A6728A5" w14:textId="77777777" w:rsidR="00EE233E" w:rsidRPr="00D67EC3" w:rsidRDefault="00EE233E">
            <w:pPr>
              <w:pStyle w:val="03boxarticolo"/>
              <w:rPr>
                <w:rFonts w:asciiTheme="minorHAnsi" w:hAnsiTheme="minorHAnsi"/>
                <w:sz w:val="20"/>
                <w:szCs w:val="20"/>
              </w:rPr>
            </w:pPr>
            <w:r w:rsidRPr="00D67EC3">
              <w:rPr>
                <w:rFonts w:asciiTheme="minorHAnsi" w:hAnsiTheme="minorHAnsi"/>
                <w:sz w:val="20"/>
                <w:szCs w:val="20"/>
              </w:rPr>
              <w:t>483</w:t>
            </w:r>
          </w:p>
        </w:tc>
        <w:tc>
          <w:tcPr>
            <w:tcW w:w="1868" w:type="dxa"/>
            <w:vMerge/>
            <w:tcBorders>
              <w:top w:val="single" w:sz="8" w:space="0" w:color="000000"/>
              <w:left w:val="single" w:sz="2" w:space="0" w:color="000000"/>
              <w:bottom w:val="single" w:sz="8" w:space="0" w:color="000000"/>
              <w:right w:val="single" w:sz="2" w:space="0" w:color="000000"/>
            </w:tcBorders>
          </w:tcPr>
          <w:p w14:paraId="428F2ED0" w14:textId="77777777" w:rsidR="00EE233E" w:rsidRPr="00D67EC3" w:rsidRDefault="00EE233E">
            <w:pPr>
              <w:pStyle w:val="NoParagraphStyle"/>
              <w:spacing w:line="240" w:lineRule="auto"/>
              <w:textAlignment w:val="auto"/>
              <w:rPr>
                <w:rFonts w:asciiTheme="minorHAnsi" w:hAnsiTheme="minorHAnsi"/>
                <w:color w:val="auto"/>
                <w:sz w:val="20"/>
                <w:szCs w:val="20"/>
              </w:rPr>
            </w:pPr>
          </w:p>
        </w:tc>
      </w:tr>
      <w:tr w:rsidR="00EE233E" w:rsidRPr="00D67EC3" w14:paraId="09C6A6DB" w14:textId="77777777">
        <w:trPr>
          <w:trHeight w:val="60"/>
        </w:trPr>
        <w:tc>
          <w:tcPr>
            <w:tcW w:w="2889"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4D80E159" w14:textId="77777777" w:rsidR="00EE233E" w:rsidRPr="00D67EC3" w:rsidRDefault="00EE233E">
            <w:pPr>
              <w:pStyle w:val="03boxarticolo"/>
              <w:jc w:val="right"/>
              <w:rPr>
                <w:rFonts w:asciiTheme="minorHAnsi" w:hAnsiTheme="minorHAnsi"/>
                <w:sz w:val="20"/>
                <w:szCs w:val="20"/>
              </w:rPr>
            </w:pPr>
            <w:r w:rsidRPr="00D67EC3">
              <w:rPr>
                <w:rFonts w:asciiTheme="minorHAnsi" w:hAnsiTheme="minorHAnsi"/>
                <w:sz w:val="20"/>
                <w:szCs w:val="20"/>
              </w:rPr>
              <w:t>Romania (21</w:t>
            </w:r>
            <w:r w:rsidRPr="00D67EC3">
              <w:rPr>
                <w:rFonts w:asciiTheme="minorHAnsi" w:hAnsiTheme="minorHAnsi"/>
                <w:spacing w:val="-19"/>
                <w:sz w:val="20"/>
                <w:szCs w:val="20"/>
              </w:rPr>
              <w:t xml:space="preserve"> </w:t>
            </w:r>
            <w:r w:rsidRPr="00D67EC3">
              <w:rPr>
                <w:rFonts w:asciiTheme="minorHAnsi" w:hAnsiTheme="minorHAnsi"/>
                <w:sz w:val="20"/>
                <w:szCs w:val="20"/>
              </w:rPr>
              <w:t>698</w:t>
            </w:r>
            <w:r w:rsidRPr="00D67EC3">
              <w:rPr>
                <w:rFonts w:asciiTheme="minorHAnsi" w:hAnsiTheme="minorHAnsi"/>
                <w:spacing w:val="-19"/>
                <w:sz w:val="20"/>
                <w:szCs w:val="20"/>
              </w:rPr>
              <w:t xml:space="preserve"> </w:t>
            </w:r>
            <w:r w:rsidRPr="00D67EC3">
              <w:rPr>
                <w:rFonts w:asciiTheme="minorHAnsi" w:hAnsiTheme="minorHAnsi"/>
                <w:sz w:val="20"/>
                <w:szCs w:val="20"/>
              </w:rPr>
              <w:t>585)</w:t>
            </w:r>
          </w:p>
        </w:tc>
        <w:tc>
          <w:tcPr>
            <w:tcW w:w="90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6451E347" w14:textId="77777777" w:rsidR="00EE233E" w:rsidRPr="00D67EC3" w:rsidRDefault="00EE233E">
            <w:pPr>
              <w:pStyle w:val="03boxarticolo"/>
              <w:rPr>
                <w:rFonts w:asciiTheme="minorHAnsi" w:hAnsiTheme="minorHAnsi"/>
                <w:sz w:val="20"/>
                <w:szCs w:val="20"/>
              </w:rPr>
            </w:pPr>
            <w:r w:rsidRPr="00D67EC3">
              <w:rPr>
                <w:rFonts w:asciiTheme="minorHAnsi" w:hAnsiTheme="minorHAnsi"/>
                <w:sz w:val="20"/>
                <w:szCs w:val="20"/>
              </w:rPr>
              <w:t>1262</w:t>
            </w:r>
          </w:p>
        </w:tc>
        <w:tc>
          <w:tcPr>
            <w:tcW w:w="1868" w:type="dxa"/>
            <w:vMerge/>
            <w:tcBorders>
              <w:top w:val="single" w:sz="8" w:space="0" w:color="000000"/>
              <w:left w:val="single" w:sz="2" w:space="0" w:color="000000"/>
              <w:bottom w:val="single" w:sz="8" w:space="0" w:color="000000"/>
              <w:right w:val="single" w:sz="2" w:space="0" w:color="000000"/>
            </w:tcBorders>
          </w:tcPr>
          <w:p w14:paraId="348913BA" w14:textId="77777777" w:rsidR="00EE233E" w:rsidRPr="00D67EC3" w:rsidRDefault="00EE233E">
            <w:pPr>
              <w:pStyle w:val="NoParagraphStyle"/>
              <w:spacing w:line="240" w:lineRule="auto"/>
              <w:textAlignment w:val="auto"/>
              <w:rPr>
                <w:rFonts w:asciiTheme="minorHAnsi" w:hAnsiTheme="minorHAnsi"/>
                <w:color w:val="auto"/>
                <w:sz w:val="20"/>
                <w:szCs w:val="20"/>
              </w:rPr>
            </w:pPr>
          </w:p>
        </w:tc>
      </w:tr>
      <w:tr w:rsidR="00EE233E" w:rsidRPr="00D67EC3" w14:paraId="59AFDD4D" w14:textId="77777777">
        <w:trPr>
          <w:trHeight w:val="60"/>
        </w:trPr>
        <w:tc>
          <w:tcPr>
            <w:tcW w:w="2889"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24FBE2B2" w14:textId="77777777" w:rsidR="00EE233E" w:rsidRPr="00D67EC3" w:rsidRDefault="00EE233E">
            <w:pPr>
              <w:pStyle w:val="03boxarticolo"/>
              <w:jc w:val="right"/>
              <w:rPr>
                <w:rFonts w:asciiTheme="minorHAnsi" w:hAnsiTheme="minorHAnsi"/>
                <w:sz w:val="20"/>
                <w:szCs w:val="20"/>
              </w:rPr>
            </w:pPr>
            <w:r w:rsidRPr="00D67EC3">
              <w:rPr>
                <w:rFonts w:asciiTheme="minorHAnsi" w:hAnsiTheme="minorHAnsi"/>
                <w:sz w:val="20"/>
                <w:szCs w:val="20"/>
              </w:rPr>
              <w:t>Spagna (46</w:t>
            </w:r>
            <w:r w:rsidRPr="00D67EC3">
              <w:rPr>
                <w:rFonts w:asciiTheme="minorHAnsi" w:hAnsiTheme="minorHAnsi"/>
                <w:spacing w:val="-19"/>
                <w:sz w:val="20"/>
                <w:szCs w:val="20"/>
              </w:rPr>
              <w:t xml:space="preserve"> </w:t>
            </w:r>
            <w:r w:rsidRPr="00D67EC3">
              <w:rPr>
                <w:rFonts w:asciiTheme="minorHAnsi" w:hAnsiTheme="minorHAnsi"/>
                <w:sz w:val="20"/>
                <w:szCs w:val="20"/>
              </w:rPr>
              <w:t>926</w:t>
            </w:r>
            <w:r w:rsidRPr="00D67EC3">
              <w:rPr>
                <w:rFonts w:asciiTheme="minorHAnsi" w:hAnsiTheme="minorHAnsi"/>
                <w:spacing w:val="-19"/>
                <w:sz w:val="20"/>
                <w:szCs w:val="20"/>
              </w:rPr>
              <w:t xml:space="preserve"> </w:t>
            </w:r>
            <w:r w:rsidRPr="00D67EC3">
              <w:rPr>
                <w:rFonts w:asciiTheme="minorHAnsi" w:hAnsiTheme="minorHAnsi"/>
                <w:sz w:val="20"/>
                <w:szCs w:val="20"/>
              </w:rPr>
              <w:t>963)</w:t>
            </w:r>
          </w:p>
        </w:tc>
        <w:tc>
          <w:tcPr>
            <w:tcW w:w="90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6E3496E9" w14:textId="77777777" w:rsidR="00EE233E" w:rsidRPr="00D67EC3" w:rsidRDefault="00EE233E">
            <w:pPr>
              <w:pStyle w:val="03boxarticolo"/>
              <w:rPr>
                <w:rFonts w:asciiTheme="minorHAnsi" w:hAnsiTheme="minorHAnsi"/>
                <w:sz w:val="20"/>
                <w:szCs w:val="20"/>
              </w:rPr>
            </w:pPr>
            <w:r w:rsidRPr="00D67EC3">
              <w:rPr>
                <w:rFonts w:asciiTheme="minorHAnsi" w:hAnsiTheme="minorHAnsi"/>
                <w:sz w:val="20"/>
                <w:szCs w:val="20"/>
              </w:rPr>
              <w:t>4510</w:t>
            </w:r>
          </w:p>
        </w:tc>
        <w:tc>
          <w:tcPr>
            <w:tcW w:w="1868" w:type="dxa"/>
            <w:vMerge/>
            <w:tcBorders>
              <w:top w:val="single" w:sz="8" w:space="0" w:color="000000"/>
              <w:left w:val="single" w:sz="2" w:space="0" w:color="000000"/>
              <w:bottom w:val="single" w:sz="8" w:space="0" w:color="000000"/>
              <w:right w:val="single" w:sz="2" w:space="0" w:color="000000"/>
            </w:tcBorders>
          </w:tcPr>
          <w:p w14:paraId="728E5716" w14:textId="77777777" w:rsidR="00EE233E" w:rsidRPr="00D67EC3" w:rsidRDefault="00EE233E">
            <w:pPr>
              <w:pStyle w:val="NoParagraphStyle"/>
              <w:spacing w:line="240" w:lineRule="auto"/>
              <w:textAlignment w:val="auto"/>
              <w:rPr>
                <w:rFonts w:asciiTheme="minorHAnsi" w:hAnsiTheme="minorHAnsi"/>
                <w:color w:val="auto"/>
                <w:sz w:val="20"/>
                <w:szCs w:val="20"/>
              </w:rPr>
            </w:pPr>
          </w:p>
        </w:tc>
      </w:tr>
      <w:tr w:rsidR="00EE233E" w:rsidRPr="00D67EC3" w14:paraId="66927003" w14:textId="77777777">
        <w:trPr>
          <w:trHeight w:val="60"/>
        </w:trPr>
        <w:tc>
          <w:tcPr>
            <w:tcW w:w="2889"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4AC9CBFB" w14:textId="77777777" w:rsidR="00EE233E" w:rsidRPr="00D67EC3" w:rsidRDefault="00EE233E">
            <w:pPr>
              <w:pStyle w:val="03boxarticolo"/>
              <w:jc w:val="right"/>
              <w:rPr>
                <w:rFonts w:asciiTheme="minorHAnsi" w:hAnsiTheme="minorHAnsi"/>
                <w:sz w:val="20"/>
                <w:szCs w:val="20"/>
              </w:rPr>
            </w:pPr>
            <w:r w:rsidRPr="00D67EC3">
              <w:rPr>
                <w:rFonts w:asciiTheme="minorHAnsi" w:hAnsiTheme="minorHAnsi"/>
                <w:sz w:val="20"/>
                <w:szCs w:val="20"/>
              </w:rPr>
              <w:t>Svezia (9</w:t>
            </w:r>
            <w:r w:rsidRPr="00D67EC3">
              <w:rPr>
                <w:rFonts w:asciiTheme="minorHAnsi" w:hAnsiTheme="minorHAnsi"/>
                <w:spacing w:val="-19"/>
                <w:sz w:val="20"/>
                <w:szCs w:val="20"/>
              </w:rPr>
              <w:t xml:space="preserve"> </w:t>
            </w:r>
            <w:r w:rsidRPr="00D67EC3">
              <w:rPr>
                <w:rFonts w:asciiTheme="minorHAnsi" w:hAnsiTheme="minorHAnsi"/>
                <w:sz w:val="20"/>
                <w:szCs w:val="20"/>
              </w:rPr>
              <w:t>571</w:t>
            </w:r>
            <w:r w:rsidRPr="00D67EC3">
              <w:rPr>
                <w:rFonts w:asciiTheme="minorHAnsi" w:hAnsiTheme="minorHAnsi"/>
                <w:spacing w:val="-19"/>
                <w:sz w:val="20"/>
                <w:szCs w:val="20"/>
              </w:rPr>
              <w:t xml:space="preserve"> </w:t>
            </w:r>
            <w:r w:rsidRPr="00D67EC3">
              <w:rPr>
                <w:rFonts w:asciiTheme="minorHAnsi" w:hAnsiTheme="minorHAnsi"/>
                <w:sz w:val="20"/>
                <w:szCs w:val="20"/>
              </w:rPr>
              <w:t>105)</w:t>
            </w:r>
          </w:p>
        </w:tc>
        <w:tc>
          <w:tcPr>
            <w:tcW w:w="90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3AA3436F" w14:textId="77777777" w:rsidR="00EE233E" w:rsidRPr="00D67EC3" w:rsidRDefault="00EE233E">
            <w:pPr>
              <w:pStyle w:val="03boxarticolo"/>
              <w:rPr>
                <w:rFonts w:asciiTheme="minorHAnsi" w:hAnsiTheme="minorHAnsi"/>
                <w:sz w:val="20"/>
                <w:szCs w:val="20"/>
              </w:rPr>
            </w:pPr>
            <w:r w:rsidRPr="00D67EC3">
              <w:rPr>
                <w:rFonts w:asciiTheme="minorHAnsi" w:hAnsiTheme="minorHAnsi"/>
                <w:sz w:val="20"/>
                <w:szCs w:val="20"/>
              </w:rPr>
              <w:t>92</w:t>
            </w:r>
            <w:r w:rsidRPr="00D67EC3">
              <w:rPr>
                <w:rFonts w:asciiTheme="minorHAnsi" w:hAnsiTheme="minorHAnsi"/>
                <w:spacing w:val="-19"/>
                <w:sz w:val="20"/>
                <w:szCs w:val="20"/>
              </w:rPr>
              <w:t xml:space="preserve"> </w:t>
            </w:r>
            <w:r w:rsidRPr="00D67EC3">
              <w:rPr>
                <w:rFonts w:asciiTheme="minorHAnsi" w:hAnsiTheme="minorHAnsi"/>
                <w:sz w:val="20"/>
                <w:szCs w:val="20"/>
              </w:rPr>
              <w:t>872</w:t>
            </w:r>
          </w:p>
        </w:tc>
        <w:tc>
          <w:tcPr>
            <w:tcW w:w="1868" w:type="dxa"/>
            <w:vMerge/>
            <w:tcBorders>
              <w:top w:val="single" w:sz="8" w:space="0" w:color="000000"/>
              <w:left w:val="single" w:sz="2" w:space="0" w:color="000000"/>
              <w:bottom w:val="single" w:sz="8" w:space="0" w:color="000000"/>
              <w:right w:val="single" w:sz="2" w:space="0" w:color="000000"/>
            </w:tcBorders>
          </w:tcPr>
          <w:p w14:paraId="245EDEB4" w14:textId="77777777" w:rsidR="00EE233E" w:rsidRPr="00D67EC3" w:rsidRDefault="00EE233E">
            <w:pPr>
              <w:pStyle w:val="NoParagraphStyle"/>
              <w:spacing w:line="240" w:lineRule="auto"/>
              <w:textAlignment w:val="auto"/>
              <w:rPr>
                <w:rFonts w:asciiTheme="minorHAnsi" w:hAnsiTheme="minorHAnsi"/>
                <w:color w:val="auto"/>
                <w:sz w:val="20"/>
                <w:szCs w:val="20"/>
              </w:rPr>
            </w:pPr>
          </w:p>
        </w:tc>
      </w:tr>
      <w:tr w:rsidR="00EE233E" w:rsidRPr="00D67EC3" w14:paraId="6A488A7A" w14:textId="77777777">
        <w:trPr>
          <w:trHeight w:val="312"/>
        </w:trPr>
        <w:tc>
          <w:tcPr>
            <w:tcW w:w="2889"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1AE00E04" w14:textId="77777777" w:rsidR="00EE233E" w:rsidRPr="00D67EC3" w:rsidRDefault="00EE233E">
            <w:pPr>
              <w:pStyle w:val="03boxarticolo"/>
              <w:jc w:val="right"/>
              <w:rPr>
                <w:rFonts w:asciiTheme="minorHAnsi" w:hAnsiTheme="minorHAnsi"/>
                <w:sz w:val="20"/>
                <w:szCs w:val="20"/>
              </w:rPr>
            </w:pPr>
            <w:r w:rsidRPr="00D67EC3">
              <w:rPr>
                <w:rFonts w:asciiTheme="minorHAnsi" w:hAnsiTheme="minorHAnsi"/>
                <w:sz w:val="20"/>
                <w:szCs w:val="20"/>
              </w:rPr>
              <w:t>Svizzera (8</w:t>
            </w:r>
            <w:r w:rsidRPr="00D67EC3">
              <w:rPr>
                <w:rFonts w:asciiTheme="minorHAnsi" w:hAnsiTheme="minorHAnsi"/>
                <w:spacing w:val="-19"/>
                <w:sz w:val="20"/>
                <w:szCs w:val="20"/>
              </w:rPr>
              <w:t xml:space="preserve"> </w:t>
            </w:r>
            <w:r w:rsidRPr="00D67EC3">
              <w:rPr>
                <w:rFonts w:asciiTheme="minorHAnsi" w:hAnsiTheme="minorHAnsi"/>
                <w:sz w:val="20"/>
                <w:szCs w:val="20"/>
              </w:rPr>
              <w:t>077</w:t>
            </w:r>
            <w:r w:rsidRPr="00D67EC3">
              <w:rPr>
                <w:rFonts w:asciiTheme="minorHAnsi" w:hAnsiTheme="minorHAnsi"/>
                <w:spacing w:val="-19"/>
                <w:sz w:val="20"/>
                <w:szCs w:val="20"/>
              </w:rPr>
              <w:t xml:space="preserve"> </w:t>
            </w:r>
            <w:r w:rsidRPr="00D67EC3">
              <w:rPr>
                <w:rFonts w:asciiTheme="minorHAnsi" w:hAnsiTheme="minorHAnsi"/>
                <w:sz w:val="20"/>
                <w:szCs w:val="20"/>
              </w:rPr>
              <w:t>833)</w:t>
            </w:r>
          </w:p>
        </w:tc>
        <w:tc>
          <w:tcPr>
            <w:tcW w:w="90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20866AA6" w14:textId="77777777" w:rsidR="00EE233E" w:rsidRPr="00D67EC3" w:rsidRDefault="00EE233E">
            <w:pPr>
              <w:pStyle w:val="03boxarticolo"/>
              <w:rPr>
                <w:rFonts w:asciiTheme="minorHAnsi" w:hAnsiTheme="minorHAnsi"/>
                <w:sz w:val="20"/>
                <w:szCs w:val="20"/>
              </w:rPr>
            </w:pPr>
            <w:r w:rsidRPr="00D67EC3">
              <w:rPr>
                <w:rFonts w:asciiTheme="minorHAnsi" w:hAnsiTheme="minorHAnsi"/>
                <w:sz w:val="20"/>
                <w:szCs w:val="20"/>
              </w:rPr>
              <w:t>50</w:t>
            </w:r>
            <w:r w:rsidRPr="00D67EC3">
              <w:rPr>
                <w:rFonts w:asciiTheme="minorHAnsi" w:hAnsiTheme="minorHAnsi"/>
                <w:spacing w:val="-19"/>
                <w:sz w:val="20"/>
                <w:szCs w:val="20"/>
              </w:rPr>
              <w:t xml:space="preserve"> </w:t>
            </w:r>
            <w:r w:rsidRPr="00D67EC3">
              <w:rPr>
                <w:rFonts w:asciiTheme="minorHAnsi" w:hAnsiTheme="minorHAnsi"/>
                <w:sz w:val="20"/>
                <w:szCs w:val="20"/>
              </w:rPr>
              <w:t>747</w:t>
            </w:r>
          </w:p>
        </w:tc>
        <w:tc>
          <w:tcPr>
            <w:tcW w:w="1868" w:type="dxa"/>
            <w:vMerge/>
            <w:tcBorders>
              <w:top w:val="single" w:sz="8" w:space="0" w:color="000000"/>
              <w:left w:val="single" w:sz="2" w:space="0" w:color="000000"/>
              <w:bottom w:val="single" w:sz="8" w:space="0" w:color="000000"/>
              <w:right w:val="single" w:sz="2" w:space="0" w:color="000000"/>
            </w:tcBorders>
          </w:tcPr>
          <w:p w14:paraId="5FB628D0" w14:textId="77777777" w:rsidR="00EE233E" w:rsidRPr="00D67EC3" w:rsidRDefault="00EE233E">
            <w:pPr>
              <w:pStyle w:val="NoParagraphStyle"/>
              <w:spacing w:line="240" w:lineRule="auto"/>
              <w:textAlignment w:val="auto"/>
              <w:rPr>
                <w:rFonts w:asciiTheme="minorHAnsi" w:hAnsiTheme="minorHAnsi"/>
                <w:color w:val="auto"/>
                <w:sz w:val="20"/>
                <w:szCs w:val="20"/>
              </w:rPr>
            </w:pPr>
          </w:p>
        </w:tc>
      </w:tr>
      <w:tr w:rsidR="00EE233E" w:rsidRPr="00D67EC3" w14:paraId="1C592124" w14:textId="77777777" w:rsidTr="00EE233E">
        <w:trPr>
          <w:trHeight w:val="60"/>
        </w:trPr>
        <w:tc>
          <w:tcPr>
            <w:tcW w:w="2889"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7BF55F21" w14:textId="77777777" w:rsidR="00EE233E" w:rsidRPr="00D67EC3" w:rsidRDefault="00EE233E">
            <w:pPr>
              <w:pStyle w:val="03boxarticolo"/>
              <w:jc w:val="right"/>
              <w:rPr>
                <w:rFonts w:asciiTheme="minorHAnsi" w:hAnsiTheme="minorHAnsi"/>
                <w:sz w:val="20"/>
                <w:szCs w:val="20"/>
              </w:rPr>
            </w:pPr>
            <w:r w:rsidRPr="00D67EC3">
              <w:rPr>
                <w:rFonts w:asciiTheme="minorHAnsi" w:hAnsiTheme="minorHAnsi"/>
                <w:sz w:val="20"/>
                <w:szCs w:val="20"/>
              </w:rPr>
              <w:t>Regno Unito (63</w:t>
            </w:r>
            <w:r w:rsidRPr="00D67EC3">
              <w:rPr>
                <w:rFonts w:asciiTheme="minorHAnsi" w:hAnsiTheme="minorHAnsi"/>
                <w:spacing w:val="-19"/>
                <w:sz w:val="20"/>
                <w:szCs w:val="20"/>
              </w:rPr>
              <w:t xml:space="preserve"> </w:t>
            </w:r>
            <w:r w:rsidRPr="00D67EC3">
              <w:rPr>
                <w:rFonts w:asciiTheme="minorHAnsi" w:hAnsiTheme="minorHAnsi"/>
                <w:sz w:val="20"/>
                <w:szCs w:val="20"/>
              </w:rPr>
              <w:t>625</w:t>
            </w:r>
            <w:r w:rsidRPr="00D67EC3">
              <w:rPr>
                <w:rFonts w:asciiTheme="minorHAnsi" w:hAnsiTheme="minorHAnsi"/>
                <w:spacing w:val="-19"/>
                <w:sz w:val="20"/>
                <w:szCs w:val="20"/>
              </w:rPr>
              <w:t xml:space="preserve"> </w:t>
            </w:r>
            <w:r w:rsidRPr="00D67EC3">
              <w:rPr>
                <w:rFonts w:asciiTheme="minorHAnsi" w:hAnsiTheme="minorHAnsi"/>
                <w:sz w:val="20"/>
                <w:szCs w:val="20"/>
              </w:rPr>
              <w:t>260)</w:t>
            </w:r>
          </w:p>
        </w:tc>
        <w:tc>
          <w:tcPr>
            <w:tcW w:w="90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0F4F7C03" w14:textId="77777777" w:rsidR="00EE233E" w:rsidRPr="00D67EC3" w:rsidRDefault="00EE233E">
            <w:pPr>
              <w:pStyle w:val="03boxarticolo"/>
              <w:rPr>
                <w:rFonts w:asciiTheme="minorHAnsi" w:hAnsiTheme="minorHAnsi"/>
                <w:sz w:val="20"/>
                <w:szCs w:val="20"/>
              </w:rPr>
            </w:pPr>
            <w:r w:rsidRPr="00D67EC3">
              <w:rPr>
                <w:rFonts w:asciiTheme="minorHAnsi" w:hAnsiTheme="minorHAnsi"/>
                <w:sz w:val="20"/>
                <w:szCs w:val="20"/>
              </w:rPr>
              <w:t>149</w:t>
            </w:r>
            <w:r w:rsidRPr="00D67EC3">
              <w:rPr>
                <w:rFonts w:asciiTheme="minorHAnsi" w:hAnsiTheme="minorHAnsi"/>
                <w:spacing w:val="-19"/>
                <w:sz w:val="20"/>
                <w:szCs w:val="20"/>
              </w:rPr>
              <w:t xml:space="preserve"> </w:t>
            </w:r>
            <w:r w:rsidRPr="00D67EC3">
              <w:rPr>
                <w:rFonts w:asciiTheme="minorHAnsi" w:hAnsiTheme="minorHAnsi"/>
                <w:sz w:val="20"/>
                <w:szCs w:val="20"/>
              </w:rPr>
              <w:t>765</w:t>
            </w:r>
          </w:p>
        </w:tc>
        <w:tc>
          <w:tcPr>
            <w:tcW w:w="1868" w:type="dxa"/>
            <w:vMerge/>
            <w:tcBorders>
              <w:top w:val="single" w:sz="8" w:space="0" w:color="000000"/>
              <w:left w:val="single" w:sz="2" w:space="0" w:color="000000"/>
              <w:bottom w:val="single" w:sz="8" w:space="0" w:color="000000"/>
              <w:right w:val="single" w:sz="2" w:space="0" w:color="000000"/>
            </w:tcBorders>
          </w:tcPr>
          <w:p w14:paraId="77553EDA" w14:textId="77777777" w:rsidR="00EE233E" w:rsidRPr="00D67EC3" w:rsidRDefault="00EE233E">
            <w:pPr>
              <w:pStyle w:val="NoParagraphStyle"/>
              <w:spacing w:line="240" w:lineRule="auto"/>
              <w:textAlignment w:val="auto"/>
              <w:rPr>
                <w:rFonts w:asciiTheme="minorHAnsi" w:hAnsiTheme="minorHAnsi"/>
                <w:color w:val="auto"/>
                <w:sz w:val="20"/>
                <w:szCs w:val="20"/>
              </w:rPr>
            </w:pPr>
          </w:p>
        </w:tc>
      </w:tr>
      <w:tr w:rsidR="00EE233E" w:rsidRPr="00D67EC3" w14:paraId="0007BE4F" w14:textId="77777777">
        <w:trPr>
          <w:trHeight w:val="60"/>
        </w:trPr>
        <w:tc>
          <w:tcPr>
            <w:tcW w:w="2889"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225923F1" w14:textId="77777777" w:rsidR="00EE233E" w:rsidRPr="00D67EC3" w:rsidRDefault="00EE233E" w:rsidP="00EE233E">
            <w:pPr>
              <w:pStyle w:val="03boxarticolo"/>
              <w:rPr>
                <w:rFonts w:asciiTheme="minorHAnsi" w:hAnsiTheme="minorHAnsi"/>
                <w:sz w:val="20"/>
                <w:szCs w:val="20"/>
              </w:rPr>
            </w:pPr>
          </w:p>
        </w:tc>
        <w:tc>
          <w:tcPr>
            <w:tcW w:w="907"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50C4A16D" w14:textId="77777777" w:rsidR="00EE233E" w:rsidRPr="00D67EC3" w:rsidRDefault="00EE233E">
            <w:pPr>
              <w:pStyle w:val="03boxarticolo"/>
              <w:rPr>
                <w:rFonts w:asciiTheme="minorHAnsi" w:hAnsiTheme="minorHAnsi"/>
                <w:sz w:val="20"/>
                <w:szCs w:val="20"/>
              </w:rPr>
            </w:pPr>
          </w:p>
        </w:tc>
        <w:tc>
          <w:tcPr>
            <w:tcW w:w="1868" w:type="dxa"/>
            <w:tcBorders>
              <w:top w:val="single" w:sz="8" w:space="0" w:color="000000"/>
              <w:left w:val="single" w:sz="2" w:space="0" w:color="000000"/>
              <w:bottom w:val="single" w:sz="2" w:space="0" w:color="000000"/>
              <w:right w:val="single" w:sz="2" w:space="0" w:color="000000"/>
            </w:tcBorders>
          </w:tcPr>
          <w:p w14:paraId="2271BA60" w14:textId="77777777" w:rsidR="00EE233E" w:rsidRPr="00D67EC3" w:rsidRDefault="00EE233E">
            <w:pPr>
              <w:pStyle w:val="NoParagraphStyle"/>
              <w:spacing w:line="240" w:lineRule="auto"/>
              <w:textAlignment w:val="auto"/>
              <w:rPr>
                <w:rFonts w:asciiTheme="minorHAnsi" w:hAnsiTheme="minorHAnsi"/>
                <w:color w:val="auto"/>
                <w:sz w:val="20"/>
                <w:szCs w:val="20"/>
              </w:rPr>
            </w:pPr>
          </w:p>
        </w:tc>
      </w:tr>
    </w:tbl>
    <w:p w14:paraId="441C907A" w14:textId="77777777" w:rsidR="00EE233E" w:rsidRPr="00D67EC3" w:rsidRDefault="00EE233E">
      <w:pPr>
        <w:rPr>
          <w:sz w:val="20"/>
          <w:szCs w:val="20"/>
        </w:rPr>
      </w:pPr>
    </w:p>
    <w:p w14:paraId="16DF5F82" w14:textId="77777777" w:rsidR="00EE233E" w:rsidRDefault="00EE233E">
      <w:pPr>
        <w:rPr>
          <w:rFonts w:ascii="HelveticaNeue-BoldCond" w:hAnsi="HelveticaNeue-BoldCond" w:cs="HelveticaNeue-BoldCond"/>
          <w:b/>
          <w:bCs/>
          <w:caps/>
        </w:rPr>
      </w:pPr>
    </w:p>
    <w:tbl>
      <w:tblPr>
        <w:tblW w:w="0" w:type="auto"/>
        <w:tblInd w:w="85" w:type="dxa"/>
        <w:tblLayout w:type="fixed"/>
        <w:tblCellMar>
          <w:left w:w="0" w:type="dxa"/>
          <w:right w:w="0" w:type="dxa"/>
        </w:tblCellMar>
        <w:tblLook w:val="0000" w:firstRow="0" w:lastRow="0" w:firstColumn="0" w:lastColumn="0" w:noHBand="0" w:noVBand="0"/>
      </w:tblPr>
      <w:tblGrid>
        <w:gridCol w:w="2459"/>
        <w:gridCol w:w="1971"/>
      </w:tblGrid>
      <w:tr w:rsidR="00EE233E" w:rsidRPr="00D67EC3" w14:paraId="7BB29DC0" w14:textId="77777777">
        <w:trPr>
          <w:trHeight w:val="60"/>
        </w:trPr>
        <w:tc>
          <w:tcPr>
            <w:tcW w:w="4430" w:type="dxa"/>
            <w:gridSpan w:val="2"/>
            <w:tcBorders>
              <w:top w:val="single" w:sz="2" w:space="0" w:color="000000"/>
              <w:left w:val="single" w:sz="2" w:space="0" w:color="000000"/>
              <w:bottom w:val="single" w:sz="2" w:space="0" w:color="000000"/>
              <w:right w:val="single" w:sz="8" w:space="0" w:color="000000"/>
            </w:tcBorders>
            <w:tcMar>
              <w:top w:w="85" w:type="dxa"/>
              <w:left w:w="85" w:type="dxa"/>
              <w:bottom w:w="85" w:type="dxa"/>
              <w:right w:w="85" w:type="dxa"/>
            </w:tcMar>
          </w:tcPr>
          <w:p w14:paraId="125FAE69" w14:textId="77777777" w:rsidR="00EE233E" w:rsidRPr="00D67EC3" w:rsidRDefault="00EE233E">
            <w:pPr>
              <w:pStyle w:val="03boxarticolo"/>
              <w:rPr>
                <w:sz w:val="20"/>
                <w:szCs w:val="20"/>
              </w:rPr>
            </w:pPr>
            <w:r w:rsidRPr="00D67EC3">
              <w:rPr>
                <w:rFonts w:ascii="HelveticaNeue-BoldCond" w:hAnsi="HelveticaNeue-BoldCond" w:cs="HelveticaNeue-BoldCond"/>
                <w:b/>
                <w:bCs/>
                <w:caps/>
                <w:sz w:val="20"/>
                <w:szCs w:val="20"/>
              </w:rPr>
              <w:t>Richiedenti asilo arrivati in Italia (dati UNHCR)</w:t>
            </w:r>
          </w:p>
        </w:tc>
      </w:tr>
      <w:tr w:rsidR="00EE233E" w:rsidRPr="00D67EC3" w14:paraId="6DD1AA49" w14:textId="77777777">
        <w:trPr>
          <w:trHeight w:val="60"/>
        </w:trPr>
        <w:tc>
          <w:tcPr>
            <w:tcW w:w="2459"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0E5AC404" w14:textId="77777777" w:rsidR="00EE233E" w:rsidRPr="00D67EC3" w:rsidRDefault="00EE233E">
            <w:pPr>
              <w:pStyle w:val="03boxarticolo"/>
              <w:rPr>
                <w:sz w:val="20"/>
                <w:szCs w:val="20"/>
              </w:rPr>
            </w:pPr>
            <w:r w:rsidRPr="00D67EC3">
              <w:rPr>
                <w:rFonts w:ascii="HelveticaNeue-BoldCond" w:hAnsi="HelveticaNeue-BoldCond" w:cs="HelveticaNeue-BoldCond"/>
                <w:b/>
                <w:bCs/>
                <w:sz w:val="20"/>
                <w:szCs w:val="20"/>
              </w:rPr>
              <w:t>Arrivi per mare da Nord Africa, Grecia e Turchia</w:t>
            </w:r>
          </w:p>
        </w:tc>
        <w:tc>
          <w:tcPr>
            <w:tcW w:w="1971" w:type="dxa"/>
            <w:vMerge w:val="restart"/>
            <w:tcBorders>
              <w:top w:val="single" w:sz="2" w:space="0" w:color="000000"/>
              <w:left w:val="single" w:sz="2" w:space="0" w:color="000000"/>
              <w:bottom w:val="single" w:sz="8" w:space="0" w:color="000000"/>
              <w:right w:val="single" w:sz="2" w:space="0" w:color="000000"/>
            </w:tcBorders>
            <w:shd w:val="solid" w:color="FFFFFF" w:fill="auto"/>
            <w:tcMar>
              <w:top w:w="85" w:type="dxa"/>
              <w:left w:w="85" w:type="dxa"/>
              <w:bottom w:w="85" w:type="dxa"/>
              <w:right w:w="85" w:type="dxa"/>
            </w:tcMar>
            <w:vAlign w:val="center"/>
          </w:tcPr>
          <w:p w14:paraId="4B1E8B45" w14:textId="77777777" w:rsidR="00EE233E" w:rsidRPr="00D67EC3" w:rsidRDefault="00EE233E">
            <w:pPr>
              <w:pStyle w:val="03boxarticolo"/>
              <w:rPr>
                <w:sz w:val="20"/>
                <w:szCs w:val="20"/>
              </w:rPr>
            </w:pPr>
            <w:r w:rsidRPr="00D67EC3">
              <w:rPr>
                <w:sz w:val="20"/>
                <w:szCs w:val="20"/>
              </w:rPr>
              <w:t>*Il dato macroscopico del 2011 (15 volte superiore a quello dell’anno precedente) è dovuto alla guerra in Libia da cui provenivano, direttamente o tramite la Tunisia, 56</w:t>
            </w:r>
            <w:r w:rsidRPr="00D67EC3">
              <w:rPr>
                <w:spacing w:val="-19"/>
                <w:sz w:val="20"/>
                <w:szCs w:val="20"/>
              </w:rPr>
              <w:t xml:space="preserve"> </w:t>
            </w:r>
            <w:r w:rsidRPr="00D67EC3">
              <w:rPr>
                <w:sz w:val="20"/>
                <w:szCs w:val="20"/>
              </w:rPr>
              <w:t xml:space="preserve">000 profughi. Gli altri </w:t>
            </w:r>
            <w:r w:rsidRPr="00D67EC3">
              <w:rPr>
                <w:sz w:val="20"/>
                <w:szCs w:val="20"/>
              </w:rPr>
              <w:br/>
              <w:t>5000 da Grecia e Turchia.</w:t>
            </w:r>
          </w:p>
        </w:tc>
      </w:tr>
      <w:tr w:rsidR="00EE233E" w:rsidRPr="00D67EC3" w14:paraId="31924BCC" w14:textId="77777777">
        <w:trPr>
          <w:trHeight w:val="60"/>
        </w:trPr>
        <w:tc>
          <w:tcPr>
            <w:tcW w:w="2459"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1F7E92A8" w14:textId="77777777" w:rsidR="00EE233E" w:rsidRPr="00D67EC3" w:rsidRDefault="00EE233E">
            <w:pPr>
              <w:pStyle w:val="03boxarticolo"/>
              <w:rPr>
                <w:sz w:val="20"/>
                <w:szCs w:val="20"/>
              </w:rPr>
            </w:pPr>
            <w:r w:rsidRPr="00D67EC3">
              <w:rPr>
                <w:rFonts w:ascii="HelveticaNeue-BoldCond" w:hAnsi="HelveticaNeue-BoldCond" w:cs="HelveticaNeue-BoldCond"/>
                <w:b/>
                <w:bCs/>
                <w:sz w:val="20"/>
                <w:szCs w:val="20"/>
              </w:rPr>
              <w:t>13</w:t>
            </w:r>
            <w:r w:rsidRPr="00D67EC3">
              <w:rPr>
                <w:spacing w:val="-19"/>
                <w:sz w:val="20"/>
                <w:szCs w:val="20"/>
              </w:rPr>
              <w:t xml:space="preserve"> </w:t>
            </w:r>
            <w:r w:rsidRPr="00D67EC3">
              <w:rPr>
                <w:rFonts w:ascii="HelveticaNeue-BoldCond" w:hAnsi="HelveticaNeue-BoldCond" w:cs="HelveticaNeue-BoldCond"/>
                <w:b/>
                <w:bCs/>
                <w:sz w:val="20"/>
                <w:szCs w:val="20"/>
              </w:rPr>
              <w:t>200</w:t>
            </w:r>
            <w:r w:rsidRPr="00D67EC3">
              <w:rPr>
                <w:sz w:val="20"/>
                <w:szCs w:val="20"/>
              </w:rPr>
              <w:t xml:space="preserve"> (2012)</w:t>
            </w:r>
          </w:p>
        </w:tc>
        <w:tc>
          <w:tcPr>
            <w:tcW w:w="1971" w:type="dxa"/>
            <w:vMerge/>
            <w:tcBorders>
              <w:top w:val="single" w:sz="8" w:space="0" w:color="000000"/>
              <w:left w:val="single" w:sz="2" w:space="0" w:color="000000"/>
              <w:bottom w:val="single" w:sz="8" w:space="0" w:color="000000"/>
              <w:right w:val="single" w:sz="2" w:space="0" w:color="000000"/>
            </w:tcBorders>
          </w:tcPr>
          <w:p w14:paraId="55CCEC4E" w14:textId="77777777" w:rsidR="00EE233E" w:rsidRPr="00D67EC3" w:rsidRDefault="00EE233E">
            <w:pPr>
              <w:pStyle w:val="NoParagraphStyle"/>
              <w:spacing w:line="240" w:lineRule="auto"/>
              <w:textAlignment w:val="auto"/>
              <w:rPr>
                <w:color w:val="auto"/>
                <w:sz w:val="20"/>
                <w:szCs w:val="20"/>
              </w:rPr>
            </w:pPr>
          </w:p>
        </w:tc>
      </w:tr>
      <w:tr w:rsidR="00EE233E" w:rsidRPr="00D67EC3" w14:paraId="7F4E41AF" w14:textId="77777777">
        <w:trPr>
          <w:trHeight w:val="60"/>
        </w:trPr>
        <w:tc>
          <w:tcPr>
            <w:tcW w:w="2459"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54729452" w14:textId="77777777" w:rsidR="00EE233E" w:rsidRPr="00D67EC3" w:rsidRDefault="00EE233E">
            <w:pPr>
              <w:pStyle w:val="03boxarticolo"/>
              <w:rPr>
                <w:sz w:val="20"/>
                <w:szCs w:val="20"/>
              </w:rPr>
            </w:pPr>
            <w:r w:rsidRPr="00D67EC3">
              <w:rPr>
                <w:rFonts w:ascii="HelveticaNeue-BoldCond" w:hAnsi="HelveticaNeue-BoldCond" w:cs="HelveticaNeue-BoldCond"/>
                <w:b/>
                <w:bCs/>
                <w:sz w:val="20"/>
                <w:szCs w:val="20"/>
              </w:rPr>
              <w:t>61</w:t>
            </w:r>
            <w:r w:rsidRPr="00D67EC3">
              <w:rPr>
                <w:spacing w:val="-19"/>
                <w:sz w:val="20"/>
                <w:szCs w:val="20"/>
              </w:rPr>
              <w:t xml:space="preserve"> </w:t>
            </w:r>
            <w:r w:rsidRPr="00D67EC3">
              <w:rPr>
                <w:rFonts w:ascii="HelveticaNeue-BoldCond" w:hAnsi="HelveticaNeue-BoldCond" w:cs="HelveticaNeue-BoldCond"/>
                <w:b/>
                <w:bCs/>
                <w:sz w:val="20"/>
                <w:szCs w:val="20"/>
              </w:rPr>
              <w:t xml:space="preserve">000 </w:t>
            </w:r>
            <w:r w:rsidRPr="00D67EC3">
              <w:rPr>
                <w:sz w:val="20"/>
                <w:szCs w:val="20"/>
              </w:rPr>
              <w:t>(2011)*</w:t>
            </w:r>
          </w:p>
        </w:tc>
        <w:tc>
          <w:tcPr>
            <w:tcW w:w="1971" w:type="dxa"/>
            <w:vMerge/>
            <w:tcBorders>
              <w:top w:val="single" w:sz="8" w:space="0" w:color="000000"/>
              <w:left w:val="single" w:sz="2" w:space="0" w:color="000000"/>
              <w:bottom w:val="single" w:sz="8" w:space="0" w:color="000000"/>
              <w:right w:val="single" w:sz="2" w:space="0" w:color="000000"/>
            </w:tcBorders>
          </w:tcPr>
          <w:p w14:paraId="4AB0E501" w14:textId="77777777" w:rsidR="00EE233E" w:rsidRPr="00D67EC3" w:rsidRDefault="00EE233E">
            <w:pPr>
              <w:pStyle w:val="NoParagraphStyle"/>
              <w:spacing w:line="240" w:lineRule="auto"/>
              <w:textAlignment w:val="auto"/>
              <w:rPr>
                <w:color w:val="auto"/>
                <w:sz w:val="20"/>
                <w:szCs w:val="20"/>
              </w:rPr>
            </w:pPr>
          </w:p>
        </w:tc>
      </w:tr>
      <w:tr w:rsidR="00EE233E" w:rsidRPr="00D67EC3" w14:paraId="3C9B7E0B" w14:textId="77777777">
        <w:trPr>
          <w:trHeight w:val="60"/>
        </w:trPr>
        <w:tc>
          <w:tcPr>
            <w:tcW w:w="2459"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783ACD1C" w14:textId="77777777" w:rsidR="00EE233E" w:rsidRPr="00D67EC3" w:rsidRDefault="00EE233E">
            <w:pPr>
              <w:pStyle w:val="03boxarticolo"/>
              <w:rPr>
                <w:sz w:val="20"/>
                <w:szCs w:val="20"/>
              </w:rPr>
            </w:pPr>
            <w:r w:rsidRPr="00D67EC3">
              <w:rPr>
                <w:rFonts w:ascii="HelveticaNeue-BoldCond" w:hAnsi="HelveticaNeue-BoldCond" w:cs="HelveticaNeue-BoldCond"/>
                <w:b/>
                <w:bCs/>
                <w:sz w:val="20"/>
                <w:szCs w:val="20"/>
              </w:rPr>
              <w:t xml:space="preserve">4348 </w:t>
            </w:r>
            <w:r w:rsidRPr="00D67EC3">
              <w:rPr>
                <w:sz w:val="20"/>
                <w:szCs w:val="20"/>
              </w:rPr>
              <w:t>(2010)</w:t>
            </w:r>
          </w:p>
        </w:tc>
        <w:tc>
          <w:tcPr>
            <w:tcW w:w="1971" w:type="dxa"/>
            <w:vMerge/>
            <w:tcBorders>
              <w:top w:val="single" w:sz="8" w:space="0" w:color="000000"/>
              <w:left w:val="single" w:sz="2" w:space="0" w:color="000000"/>
              <w:bottom w:val="single" w:sz="8" w:space="0" w:color="000000"/>
              <w:right w:val="single" w:sz="2" w:space="0" w:color="000000"/>
            </w:tcBorders>
          </w:tcPr>
          <w:p w14:paraId="02DB92CD" w14:textId="77777777" w:rsidR="00EE233E" w:rsidRPr="00D67EC3" w:rsidRDefault="00EE233E">
            <w:pPr>
              <w:pStyle w:val="NoParagraphStyle"/>
              <w:spacing w:line="240" w:lineRule="auto"/>
              <w:textAlignment w:val="auto"/>
              <w:rPr>
                <w:color w:val="auto"/>
                <w:sz w:val="20"/>
                <w:szCs w:val="20"/>
              </w:rPr>
            </w:pPr>
          </w:p>
        </w:tc>
      </w:tr>
      <w:tr w:rsidR="00EE233E" w:rsidRPr="00D67EC3" w14:paraId="7C49AF8A" w14:textId="77777777">
        <w:trPr>
          <w:trHeight w:val="60"/>
        </w:trPr>
        <w:tc>
          <w:tcPr>
            <w:tcW w:w="2459"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343F2EFC" w14:textId="77777777" w:rsidR="00EE233E" w:rsidRPr="00D67EC3" w:rsidRDefault="00EE233E">
            <w:pPr>
              <w:pStyle w:val="03boxarticolo"/>
              <w:rPr>
                <w:sz w:val="20"/>
                <w:szCs w:val="20"/>
              </w:rPr>
            </w:pPr>
            <w:r w:rsidRPr="00D67EC3">
              <w:rPr>
                <w:rFonts w:ascii="HelveticaNeue-BoldCond" w:hAnsi="HelveticaNeue-BoldCond" w:cs="HelveticaNeue-BoldCond"/>
                <w:b/>
                <w:bCs/>
                <w:sz w:val="20"/>
                <w:szCs w:val="20"/>
              </w:rPr>
              <w:t xml:space="preserve">9573 </w:t>
            </w:r>
            <w:r w:rsidRPr="00D67EC3">
              <w:rPr>
                <w:sz w:val="20"/>
                <w:szCs w:val="20"/>
              </w:rPr>
              <w:t>(2009)</w:t>
            </w:r>
          </w:p>
        </w:tc>
        <w:tc>
          <w:tcPr>
            <w:tcW w:w="1971" w:type="dxa"/>
            <w:vMerge/>
            <w:tcBorders>
              <w:top w:val="single" w:sz="8" w:space="0" w:color="000000"/>
              <w:left w:val="single" w:sz="2" w:space="0" w:color="000000"/>
              <w:bottom w:val="single" w:sz="8" w:space="0" w:color="000000"/>
              <w:right w:val="single" w:sz="2" w:space="0" w:color="000000"/>
            </w:tcBorders>
          </w:tcPr>
          <w:p w14:paraId="76FA52DC" w14:textId="77777777" w:rsidR="00EE233E" w:rsidRPr="00D67EC3" w:rsidRDefault="00EE233E">
            <w:pPr>
              <w:pStyle w:val="NoParagraphStyle"/>
              <w:spacing w:line="240" w:lineRule="auto"/>
              <w:textAlignment w:val="auto"/>
              <w:rPr>
                <w:color w:val="auto"/>
                <w:sz w:val="20"/>
                <w:szCs w:val="20"/>
              </w:rPr>
            </w:pPr>
          </w:p>
        </w:tc>
      </w:tr>
      <w:tr w:rsidR="00EE233E" w:rsidRPr="00D67EC3" w14:paraId="20029DB4" w14:textId="77777777">
        <w:trPr>
          <w:trHeight w:val="60"/>
        </w:trPr>
        <w:tc>
          <w:tcPr>
            <w:tcW w:w="2459"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31E03772" w14:textId="77777777" w:rsidR="00EE233E" w:rsidRPr="00D67EC3" w:rsidRDefault="00EE233E">
            <w:pPr>
              <w:pStyle w:val="03boxarticolo"/>
              <w:rPr>
                <w:sz w:val="20"/>
                <w:szCs w:val="20"/>
              </w:rPr>
            </w:pPr>
            <w:r w:rsidRPr="00D67EC3">
              <w:rPr>
                <w:rFonts w:ascii="HelveticaNeue-BoldCond" w:hAnsi="HelveticaNeue-BoldCond" w:cs="HelveticaNeue-BoldCond"/>
                <w:b/>
                <w:bCs/>
                <w:sz w:val="20"/>
                <w:szCs w:val="20"/>
              </w:rPr>
              <w:t>36</w:t>
            </w:r>
            <w:r w:rsidRPr="00D67EC3">
              <w:rPr>
                <w:spacing w:val="-19"/>
                <w:sz w:val="20"/>
                <w:szCs w:val="20"/>
              </w:rPr>
              <w:t xml:space="preserve"> </w:t>
            </w:r>
            <w:r w:rsidRPr="00D67EC3">
              <w:rPr>
                <w:rFonts w:ascii="HelveticaNeue-BoldCond" w:hAnsi="HelveticaNeue-BoldCond" w:cs="HelveticaNeue-BoldCond"/>
                <w:b/>
                <w:bCs/>
                <w:sz w:val="20"/>
                <w:szCs w:val="20"/>
              </w:rPr>
              <w:t xml:space="preserve">000 </w:t>
            </w:r>
            <w:r w:rsidRPr="00D67EC3">
              <w:rPr>
                <w:sz w:val="20"/>
                <w:szCs w:val="20"/>
              </w:rPr>
              <w:t>(2008)</w:t>
            </w:r>
          </w:p>
        </w:tc>
        <w:tc>
          <w:tcPr>
            <w:tcW w:w="1971" w:type="dxa"/>
            <w:vMerge/>
            <w:tcBorders>
              <w:top w:val="single" w:sz="8" w:space="0" w:color="000000"/>
              <w:left w:val="single" w:sz="2" w:space="0" w:color="000000"/>
              <w:bottom w:val="single" w:sz="8" w:space="0" w:color="000000"/>
              <w:right w:val="single" w:sz="2" w:space="0" w:color="000000"/>
            </w:tcBorders>
          </w:tcPr>
          <w:p w14:paraId="01BBE310" w14:textId="77777777" w:rsidR="00EE233E" w:rsidRPr="00D67EC3" w:rsidRDefault="00EE233E">
            <w:pPr>
              <w:pStyle w:val="NoParagraphStyle"/>
              <w:spacing w:line="240" w:lineRule="auto"/>
              <w:textAlignment w:val="auto"/>
              <w:rPr>
                <w:color w:val="auto"/>
                <w:sz w:val="20"/>
                <w:szCs w:val="20"/>
              </w:rPr>
            </w:pPr>
          </w:p>
        </w:tc>
      </w:tr>
      <w:tr w:rsidR="00EE233E" w:rsidRPr="00D67EC3" w14:paraId="2DC069A4" w14:textId="77777777">
        <w:trPr>
          <w:trHeight w:val="60"/>
        </w:trPr>
        <w:tc>
          <w:tcPr>
            <w:tcW w:w="2459"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1F68C169" w14:textId="77777777" w:rsidR="00EE233E" w:rsidRPr="00D67EC3" w:rsidRDefault="00EE233E">
            <w:pPr>
              <w:pStyle w:val="03boxarticolo"/>
              <w:rPr>
                <w:sz w:val="20"/>
                <w:szCs w:val="20"/>
              </w:rPr>
            </w:pPr>
            <w:r w:rsidRPr="00D67EC3">
              <w:rPr>
                <w:rFonts w:ascii="HelveticaNeue-BoldCond" w:hAnsi="HelveticaNeue-BoldCond" w:cs="HelveticaNeue-BoldCond"/>
                <w:b/>
                <w:bCs/>
                <w:sz w:val="20"/>
                <w:szCs w:val="20"/>
              </w:rPr>
              <w:t>19</w:t>
            </w:r>
            <w:r w:rsidRPr="00D67EC3">
              <w:rPr>
                <w:spacing w:val="-19"/>
                <w:sz w:val="20"/>
                <w:szCs w:val="20"/>
              </w:rPr>
              <w:t xml:space="preserve"> </w:t>
            </w:r>
            <w:r w:rsidRPr="00D67EC3">
              <w:rPr>
                <w:rFonts w:ascii="HelveticaNeue-BoldCond" w:hAnsi="HelveticaNeue-BoldCond" w:cs="HelveticaNeue-BoldCond"/>
                <w:b/>
                <w:bCs/>
                <w:sz w:val="20"/>
                <w:szCs w:val="20"/>
              </w:rPr>
              <w:t xml:space="preserve">900 </w:t>
            </w:r>
            <w:r w:rsidRPr="00D67EC3">
              <w:rPr>
                <w:sz w:val="20"/>
                <w:szCs w:val="20"/>
              </w:rPr>
              <w:t>(2007)</w:t>
            </w:r>
          </w:p>
        </w:tc>
        <w:tc>
          <w:tcPr>
            <w:tcW w:w="1971" w:type="dxa"/>
            <w:vMerge/>
            <w:tcBorders>
              <w:top w:val="single" w:sz="8" w:space="0" w:color="000000"/>
              <w:left w:val="single" w:sz="2" w:space="0" w:color="000000"/>
              <w:bottom w:val="single" w:sz="8" w:space="0" w:color="000000"/>
              <w:right w:val="single" w:sz="2" w:space="0" w:color="000000"/>
            </w:tcBorders>
          </w:tcPr>
          <w:p w14:paraId="10D09A69" w14:textId="77777777" w:rsidR="00EE233E" w:rsidRPr="00D67EC3" w:rsidRDefault="00EE233E">
            <w:pPr>
              <w:pStyle w:val="NoParagraphStyle"/>
              <w:spacing w:line="240" w:lineRule="auto"/>
              <w:textAlignment w:val="auto"/>
              <w:rPr>
                <w:color w:val="auto"/>
                <w:sz w:val="20"/>
                <w:szCs w:val="20"/>
              </w:rPr>
            </w:pPr>
          </w:p>
        </w:tc>
      </w:tr>
      <w:tr w:rsidR="00EE233E" w:rsidRPr="00D67EC3" w14:paraId="5225E167" w14:textId="77777777">
        <w:trPr>
          <w:trHeight w:val="60"/>
        </w:trPr>
        <w:tc>
          <w:tcPr>
            <w:tcW w:w="2459" w:type="dxa"/>
            <w:tcBorders>
              <w:top w:val="single" w:sz="2" w:space="0" w:color="000000"/>
              <w:left w:val="single" w:sz="2" w:space="0" w:color="000000"/>
              <w:bottom w:val="single" w:sz="2" w:space="0" w:color="000000"/>
              <w:right w:val="single" w:sz="2" w:space="0" w:color="000000"/>
            </w:tcBorders>
            <w:tcMar>
              <w:top w:w="85" w:type="dxa"/>
              <w:left w:w="85" w:type="dxa"/>
              <w:bottom w:w="85" w:type="dxa"/>
              <w:right w:w="85" w:type="dxa"/>
            </w:tcMar>
          </w:tcPr>
          <w:p w14:paraId="49A17498" w14:textId="77777777" w:rsidR="00EE233E" w:rsidRPr="00D67EC3" w:rsidRDefault="00EE233E">
            <w:pPr>
              <w:pStyle w:val="03boxarticolo"/>
              <w:rPr>
                <w:sz w:val="20"/>
                <w:szCs w:val="20"/>
              </w:rPr>
            </w:pPr>
            <w:r w:rsidRPr="00D67EC3">
              <w:rPr>
                <w:rFonts w:ascii="HelveticaNeue-BoldCond" w:hAnsi="HelveticaNeue-BoldCond" w:cs="HelveticaNeue-BoldCond"/>
                <w:b/>
                <w:bCs/>
                <w:sz w:val="20"/>
                <w:szCs w:val="20"/>
              </w:rPr>
              <w:t>22</w:t>
            </w:r>
            <w:r w:rsidRPr="00D67EC3">
              <w:rPr>
                <w:spacing w:val="-19"/>
                <w:sz w:val="20"/>
                <w:szCs w:val="20"/>
              </w:rPr>
              <w:t xml:space="preserve"> </w:t>
            </w:r>
            <w:r w:rsidRPr="00D67EC3">
              <w:rPr>
                <w:rFonts w:ascii="HelveticaNeue-BoldCond" w:hAnsi="HelveticaNeue-BoldCond" w:cs="HelveticaNeue-BoldCond"/>
                <w:b/>
                <w:bCs/>
                <w:sz w:val="20"/>
                <w:szCs w:val="20"/>
              </w:rPr>
              <w:t xml:space="preserve">000 </w:t>
            </w:r>
            <w:r w:rsidRPr="00D67EC3">
              <w:rPr>
                <w:sz w:val="20"/>
                <w:szCs w:val="20"/>
              </w:rPr>
              <w:t>(2006)</w:t>
            </w:r>
          </w:p>
        </w:tc>
        <w:tc>
          <w:tcPr>
            <w:tcW w:w="1971" w:type="dxa"/>
            <w:vMerge/>
            <w:tcBorders>
              <w:top w:val="single" w:sz="8" w:space="0" w:color="000000"/>
              <w:left w:val="single" w:sz="2" w:space="0" w:color="000000"/>
              <w:bottom w:val="single" w:sz="2" w:space="0" w:color="000000"/>
              <w:right w:val="single" w:sz="2" w:space="0" w:color="000000"/>
            </w:tcBorders>
          </w:tcPr>
          <w:p w14:paraId="5202D804" w14:textId="77777777" w:rsidR="00EE233E" w:rsidRPr="00D67EC3" w:rsidRDefault="00EE233E">
            <w:pPr>
              <w:pStyle w:val="NoParagraphStyle"/>
              <w:spacing w:line="240" w:lineRule="auto"/>
              <w:textAlignment w:val="auto"/>
              <w:rPr>
                <w:color w:val="auto"/>
                <w:sz w:val="20"/>
                <w:szCs w:val="20"/>
              </w:rPr>
            </w:pPr>
          </w:p>
        </w:tc>
      </w:tr>
    </w:tbl>
    <w:p w14:paraId="66815DC9" w14:textId="77777777" w:rsidR="00EE233E" w:rsidRDefault="00EE233E">
      <w:pPr>
        <w:rPr>
          <w:rFonts w:ascii="HelveticaNeue-BoldCond" w:hAnsi="HelveticaNeue-BoldCond" w:cs="HelveticaNeue-BoldCond"/>
          <w:b/>
          <w:bCs/>
          <w:caps/>
        </w:rPr>
      </w:pPr>
    </w:p>
    <w:p w14:paraId="0BF7DE2F" w14:textId="3996AD77" w:rsidR="00EE233E" w:rsidRPr="00D67EC3" w:rsidRDefault="000433A1">
      <w:pPr>
        <w:rPr>
          <w:rFonts w:ascii="HelveticaNeue-BoldCond" w:hAnsi="HelveticaNeue-BoldCond" w:cs="HelveticaNeue-BoldCond"/>
          <w:b/>
          <w:bCs/>
          <w:caps/>
          <w:sz w:val="20"/>
          <w:szCs w:val="20"/>
        </w:rPr>
      </w:pPr>
      <w:r w:rsidRPr="00D67EC3">
        <w:rPr>
          <w:rFonts w:ascii="HelveticaNeue-BoldCond" w:hAnsi="HelveticaNeue-BoldCond" w:cs="HelveticaNeue-BoldCond"/>
          <w:b/>
          <w:bCs/>
          <w:caps/>
          <w:sz w:val="20"/>
          <w:szCs w:val="20"/>
        </w:rPr>
        <w:t>attuali provenienze e destinazioni dei profughi</w:t>
      </w:r>
    </w:p>
    <w:p w14:paraId="326BA9CD" w14:textId="6966F771" w:rsidR="00145CEC" w:rsidRPr="00D67EC3" w:rsidRDefault="00145CEC" w:rsidP="00145CEC">
      <w:pPr>
        <w:rPr>
          <w:sz w:val="20"/>
          <w:szCs w:val="20"/>
        </w:rPr>
      </w:pPr>
      <w:r w:rsidRPr="00D67EC3">
        <w:rPr>
          <w:sz w:val="20"/>
          <w:szCs w:val="20"/>
        </w:rPr>
        <w:t>Le tabelle che qui riportiamo sono tratte dall’ultimo rapporto dello UNHCR (</w:t>
      </w:r>
      <w:hyperlink r:id="rId10" w:history="1">
        <w:r w:rsidRPr="00D67EC3">
          <w:rPr>
            <w:rStyle w:val="Collegamentoipertestuale"/>
            <w:sz w:val="20"/>
            <w:szCs w:val="20"/>
          </w:rPr>
          <w:t>http://unhcr.org/globaltrendsjune2013/</w:t>
        </w:r>
      </w:hyperlink>
      <w:r w:rsidRPr="00D67EC3">
        <w:rPr>
          <w:sz w:val="20"/>
          <w:szCs w:val="20"/>
        </w:rPr>
        <w:t xml:space="preserve">) </w:t>
      </w:r>
    </w:p>
    <w:p w14:paraId="7A99E234" w14:textId="675DDA76" w:rsidR="00145CEC" w:rsidRPr="00D67EC3" w:rsidRDefault="00145CEC" w:rsidP="00145CEC">
      <w:pPr>
        <w:rPr>
          <w:sz w:val="20"/>
          <w:szCs w:val="20"/>
        </w:rPr>
      </w:pPr>
      <w:r w:rsidRPr="00D67EC3">
        <w:rPr>
          <w:sz w:val="20"/>
          <w:szCs w:val="20"/>
        </w:rPr>
        <w:t xml:space="preserve">e mostrano quali sono le attuali provenienze e destinazioni della maggior parte dei profughi. </w:t>
      </w:r>
    </w:p>
    <w:tbl>
      <w:tblPr>
        <w:tblW w:w="0" w:type="auto"/>
        <w:tblInd w:w="10" w:type="dxa"/>
        <w:tblLayout w:type="fixed"/>
        <w:tblCellMar>
          <w:left w:w="0" w:type="dxa"/>
          <w:right w:w="0" w:type="dxa"/>
        </w:tblCellMar>
        <w:tblLook w:val="0000" w:firstRow="0" w:lastRow="0" w:firstColumn="0" w:lastColumn="0" w:noHBand="0" w:noVBand="0"/>
      </w:tblPr>
      <w:tblGrid>
        <w:gridCol w:w="8640"/>
      </w:tblGrid>
      <w:tr w:rsidR="00145CEC" w:rsidRPr="00D67EC3" w14:paraId="53B80FCA" w14:textId="77777777" w:rsidTr="001344E8">
        <w:tc>
          <w:tcPr>
            <w:tcW w:w="8640" w:type="dxa"/>
          </w:tcPr>
          <w:p w14:paraId="7C87D3B5" w14:textId="77777777" w:rsidR="00145CEC" w:rsidRPr="00D67EC3" w:rsidRDefault="00145CEC" w:rsidP="00145CEC">
            <w:pPr>
              <w:rPr>
                <w:sz w:val="20"/>
                <w:szCs w:val="20"/>
              </w:rPr>
            </w:pPr>
            <w:r w:rsidRPr="00D67EC3">
              <w:rPr>
                <w:sz w:val="20"/>
                <w:szCs w:val="20"/>
              </w:rPr>
              <w:t>Fra i paesi d’origine, quello che detiene il primato (e lo fa da più di trent’anni!) è l’</w:t>
            </w:r>
            <w:r w:rsidRPr="00D67EC3">
              <w:rPr>
                <w:b/>
                <w:sz w:val="20"/>
                <w:szCs w:val="20"/>
              </w:rPr>
              <w:t>Afghanistan</w:t>
            </w:r>
            <w:r w:rsidRPr="00D67EC3">
              <w:rPr>
                <w:sz w:val="20"/>
                <w:szCs w:val="20"/>
              </w:rPr>
              <w:t xml:space="preserve">, seguito dalla </w:t>
            </w:r>
            <w:r w:rsidRPr="00D67EC3">
              <w:rPr>
                <w:b/>
                <w:sz w:val="20"/>
                <w:szCs w:val="20"/>
              </w:rPr>
              <w:t>Somalia</w:t>
            </w:r>
            <w:r w:rsidRPr="00D67EC3">
              <w:rPr>
                <w:sz w:val="20"/>
                <w:szCs w:val="20"/>
              </w:rPr>
              <w:t xml:space="preserve"> (Tab. 1). </w:t>
            </w:r>
          </w:p>
          <w:p w14:paraId="01D1B979" w14:textId="77777777" w:rsidR="00145CEC" w:rsidRPr="00D67EC3" w:rsidRDefault="00145CEC" w:rsidP="00145CEC">
            <w:pPr>
              <w:rPr>
                <w:sz w:val="20"/>
                <w:szCs w:val="20"/>
              </w:rPr>
            </w:pPr>
            <w:r w:rsidRPr="00D67EC3">
              <w:rPr>
                <w:sz w:val="20"/>
                <w:szCs w:val="20"/>
              </w:rPr>
              <w:t>Fra i primi 10 paesi ospitanti ne compare uno solo europeo (</w:t>
            </w:r>
            <w:r w:rsidRPr="00D67EC3">
              <w:rPr>
                <w:b/>
                <w:sz w:val="20"/>
                <w:szCs w:val="20"/>
              </w:rPr>
              <w:t>Germania</w:t>
            </w:r>
            <w:r w:rsidRPr="00D67EC3">
              <w:rPr>
                <w:sz w:val="20"/>
                <w:szCs w:val="20"/>
              </w:rPr>
              <w:t xml:space="preserve">) mentre molti  appartengono alla fascia dei </w:t>
            </w:r>
            <w:r w:rsidRPr="00D67EC3">
              <w:rPr>
                <w:b/>
                <w:sz w:val="20"/>
                <w:szCs w:val="20"/>
              </w:rPr>
              <w:t>paesi in via di sviluppo</w:t>
            </w:r>
            <w:r w:rsidRPr="00D67EC3">
              <w:rPr>
                <w:sz w:val="20"/>
                <w:szCs w:val="20"/>
              </w:rPr>
              <w:t xml:space="preserve"> (alcuni, come il Chad, perfino al di sotto della soglia di povertà). La </w:t>
            </w:r>
            <w:r w:rsidRPr="00D67EC3">
              <w:rPr>
                <w:b/>
                <w:sz w:val="20"/>
                <w:szCs w:val="20"/>
              </w:rPr>
              <w:t>Siria</w:t>
            </w:r>
            <w:r w:rsidRPr="00D67EC3">
              <w:rPr>
                <w:sz w:val="20"/>
                <w:szCs w:val="20"/>
              </w:rPr>
              <w:t xml:space="preserve"> figura come paese che accoglie profughi mentre è, allo stesso tempo, uno di quei paesi che ne produce di più (Tab. 2). </w:t>
            </w:r>
          </w:p>
          <w:p w14:paraId="65C50E07" w14:textId="77777777" w:rsidR="00145CEC" w:rsidRPr="00D67EC3" w:rsidRDefault="00145CEC" w:rsidP="00145CEC">
            <w:pPr>
              <w:rPr>
                <w:sz w:val="20"/>
                <w:szCs w:val="20"/>
              </w:rPr>
            </w:pPr>
            <w:r w:rsidRPr="00D67EC3">
              <w:rPr>
                <w:sz w:val="20"/>
                <w:szCs w:val="20"/>
              </w:rPr>
              <w:t xml:space="preserve">Per capire a fondo l’impatto che la massa dei profughi ha sui paesi che li ospitano è necessario confrontare il loro numero con quello della popolazione residente (Tab. 3) e, soprattutto, con il reddito di questa popolazione (Tab. 4). Si ricava così che lo sforzo di gran lunga maggiore nel soccorso ai profughi è compiuto da </w:t>
            </w:r>
            <w:r w:rsidRPr="00D67EC3">
              <w:rPr>
                <w:b/>
                <w:sz w:val="20"/>
                <w:szCs w:val="20"/>
              </w:rPr>
              <w:t>paesi poveri o poverissimi</w:t>
            </w:r>
            <w:r w:rsidRPr="00D67EC3">
              <w:rPr>
                <w:sz w:val="20"/>
                <w:szCs w:val="20"/>
              </w:rPr>
              <w:t>.</w:t>
            </w:r>
            <w:r w:rsidRPr="00D67EC3">
              <w:rPr>
                <w:sz w:val="20"/>
                <w:szCs w:val="20"/>
              </w:rPr>
              <w:cr/>
            </w:r>
            <w:r w:rsidRPr="00D67EC3">
              <w:rPr>
                <w:sz w:val="20"/>
                <w:szCs w:val="20"/>
              </w:rPr>
              <w:cr/>
            </w:r>
            <w:r w:rsidRPr="00D67EC3">
              <w:rPr>
                <w:sz w:val="20"/>
                <w:szCs w:val="20"/>
              </w:rPr>
              <w:cr/>
            </w:r>
            <w:r w:rsidRPr="00D67EC3">
              <w:rPr>
                <w:sz w:val="20"/>
                <w:szCs w:val="20"/>
              </w:rPr>
              <w:cr/>
            </w:r>
            <w:r w:rsidRPr="00D67EC3">
              <w:rPr>
                <w:sz w:val="20"/>
                <w:szCs w:val="20"/>
              </w:rPr>
              <w:cr/>
              <w:t xml:space="preserve"> </w:t>
            </w:r>
            <w:r w:rsidRPr="00D67EC3">
              <w:rPr>
                <w:sz w:val="20"/>
                <w:szCs w:val="20"/>
              </w:rPr>
              <w:cr/>
            </w:r>
            <w:r w:rsidRPr="00D67EC3">
              <w:rPr>
                <w:sz w:val="20"/>
                <w:szCs w:val="20"/>
              </w:rPr>
              <w:cr/>
            </w:r>
            <w:r w:rsidRPr="00D67EC3">
              <w:rPr>
                <w:sz w:val="20"/>
                <w:szCs w:val="20"/>
              </w:rPr>
              <w:cr/>
            </w:r>
            <w:r w:rsidRPr="00D67EC3">
              <w:rPr>
                <w:sz w:val="20"/>
                <w:szCs w:val="20"/>
              </w:rPr>
              <w:cr/>
            </w:r>
            <w:r w:rsidRPr="00D67EC3">
              <w:rPr>
                <w:sz w:val="20"/>
                <w:szCs w:val="20"/>
              </w:rPr>
              <w:cr/>
              <w:t xml:space="preserve"> </w:t>
            </w:r>
          </w:p>
        </w:tc>
      </w:tr>
    </w:tbl>
    <w:p w14:paraId="6875C03F" w14:textId="5742A2C8" w:rsidR="00696B36" w:rsidRDefault="00145CEC" w:rsidP="00145CEC">
      <w:r w:rsidRPr="00301A8D">
        <w:rPr>
          <w:sz w:val="16"/>
        </w:rPr>
        <w:cr/>
      </w:r>
      <w:r w:rsidR="00944B72">
        <w:rPr>
          <w:noProof/>
        </w:rPr>
        <w:drawing>
          <wp:inline distT="0" distB="0" distL="0" distR="0" wp14:anchorId="520421BC" wp14:editId="7FEBDD9A">
            <wp:extent cx="5106670" cy="4733925"/>
            <wp:effectExtent l="0" t="0" r="0" b="0"/>
            <wp:docPr id="1" name="Immagine 1" descr="Macintosh HD:Users:serenasironi:Desktop:Schermata 2013-12-10 alle 18.18.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erenasironi:Desktop:Schermata 2013-12-10 alle 18.18.57.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06670" cy="4733925"/>
                    </a:xfrm>
                    <a:prstGeom prst="rect">
                      <a:avLst/>
                    </a:prstGeom>
                    <a:noFill/>
                    <a:ln>
                      <a:noFill/>
                    </a:ln>
                  </pic:spPr>
                </pic:pic>
              </a:graphicData>
            </a:graphic>
          </wp:inline>
        </w:drawing>
      </w:r>
    </w:p>
    <w:p w14:paraId="493288CD" w14:textId="77777777" w:rsidR="00EE233E" w:rsidRDefault="00EE233E"/>
    <w:p w14:paraId="32B70E65" w14:textId="235EA2AF" w:rsidR="00EE233E" w:rsidRPr="00EE233E" w:rsidRDefault="00EE233E" w:rsidP="00EE233E">
      <w:r>
        <w:rPr>
          <w:b/>
          <w:bCs/>
        </w:rPr>
        <w:t xml:space="preserve"> </w:t>
      </w:r>
      <w:r w:rsidR="00944B72">
        <w:rPr>
          <w:b/>
          <w:bCs/>
          <w:noProof/>
        </w:rPr>
        <w:drawing>
          <wp:inline distT="0" distB="0" distL="0" distR="0" wp14:anchorId="4643A236" wp14:editId="72D653ED">
            <wp:extent cx="5057140" cy="4930775"/>
            <wp:effectExtent l="0" t="0" r="0" b="0"/>
            <wp:docPr id="2" name="Immagine 2" descr="Macintosh HD:Users:serenasironi:Desktop:Schermata 2013-12-10 alle 18.19.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serenasironi:Desktop:Schermata 2013-12-10 alle 18.19.37.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57140" cy="4930775"/>
                    </a:xfrm>
                    <a:prstGeom prst="rect">
                      <a:avLst/>
                    </a:prstGeom>
                    <a:noFill/>
                    <a:ln>
                      <a:noFill/>
                    </a:ln>
                  </pic:spPr>
                </pic:pic>
              </a:graphicData>
            </a:graphic>
          </wp:inline>
        </w:drawing>
      </w:r>
    </w:p>
    <w:p w14:paraId="0093E985" w14:textId="77777777" w:rsidR="00944B72" w:rsidRDefault="00944B72" w:rsidP="00EE233E">
      <w:pPr>
        <w:rPr>
          <w:b/>
          <w:bCs/>
          <w:sz w:val="20"/>
          <w:szCs w:val="20"/>
        </w:rPr>
      </w:pPr>
    </w:p>
    <w:p w14:paraId="42FDDFCE" w14:textId="4F32C41F" w:rsidR="00EE233E" w:rsidRDefault="009567F3" w:rsidP="00EE233E">
      <w:r>
        <w:rPr>
          <w:noProof/>
        </w:rPr>
        <w:drawing>
          <wp:inline distT="0" distB="0" distL="0" distR="0" wp14:anchorId="467B022F" wp14:editId="699AA7EF">
            <wp:extent cx="6172200" cy="7577699"/>
            <wp:effectExtent l="0" t="0" r="0" b="0"/>
            <wp:docPr id="3" name="Immagine 3" descr="Macintosh HD:Users:sspg1:Desktop:Schermata 12-2456638 alle 09.3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spg1:Desktop:Schermata 12-2456638 alle 09.30.19.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72200" cy="7577699"/>
                    </a:xfrm>
                    <a:prstGeom prst="rect">
                      <a:avLst/>
                    </a:prstGeom>
                    <a:noFill/>
                    <a:ln>
                      <a:noFill/>
                    </a:ln>
                  </pic:spPr>
                </pic:pic>
              </a:graphicData>
            </a:graphic>
          </wp:inline>
        </w:drawing>
      </w:r>
    </w:p>
    <w:p w14:paraId="226E32AA" w14:textId="77777777" w:rsidR="009567F3" w:rsidRDefault="009567F3" w:rsidP="00EE233E"/>
    <w:p w14:paraId="789A79EC" w14:textId="77777777" w:rsidR="009567F3" w:rsidRDefault="009567F3" w:rsidP="00EE233E"/>
    <w:p w14:paraId="59444E97" w14:textId="77777777" w:rsidR="009567F3" w:rsidRDefault="009567F3" w:rsidP="00EE233E"/>
    <w:p w14:paraId="6D297162" w14:textId="77777777" w:rsidR="009567F3" w:rsidRDefault="009567F3" w:rsidP="00EE233E"/>
    <w:p w14:paraId="69EFBC94" w14:textId="2D225CE6" w:rsidR="009567F3" w:rsidRDefault="009567F3" w:rsidP="00EE233E">
      <w:bookmarkStart w:id="0" w:name="_GoBack"/>
      <w:r>
        <w:rPr>
          <w:noProof/>
        </w:rPr>
        <w:drawing>
          <wp:inline distT="0" distB="0" distL="0" distR="0" wp14:anchorId="1A52A2F2" wp14:editId="6F41EB03">
            <wp:extent cx="5106670" cy="1730375"/>
            <wp:effectExtent l="0" t="0" r="0" b="0"/>
            <wp:docPr id="5" name="Immagine 5" descr="Macintosh HD:Users:sspg1:Desktop:Schermata 12-2456638 alle 09.30.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sspg1:Desktop:Schermata 12-2456638 alle 09.30.35.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06670" cy="1730375"/>
                    </a:xfrm>
                    <a:prstGeom prst="rect">
                      <a:avLst/>
                    </a:prstGeom>
                    <a:noFill/>
                    <a:ln>
                      <a:noFill/>
                    </a:ln>
                  </pic:spPr>
                </pic:pic>
              </a:graphicData>
            </a:graphic>
          </wp:inline>
        </w:drawing>
      </w:r>
      <w:bookmarkEnd w:id="0"/>
    </w:p>
    <w:sectPr w:rsidR="009567F3" w:rsidSect="004A6450">
      <w:footerReference w:type="even" r:id="rId15"/>
      <w:footerReference w:type="default" r:id="rId16"/>
      <w:pgSz w:w="12240" w:h="15840"/>
      <w:pgMar w:top="720" w:right="720" w:bottom="720" w:left="72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9F847C" w14:textId="77777777" w:rsidR="00795A5F" w:rsidRDefault="00795A5F" w:rsidP="00795A5F">
      <w:r>
        <w:separator/>
      </w:r>
    </w:p>
  </w:endnote>
  <w:endnote w:type="continuationSeparator" w:id="0">
    <w:p w14:paraId="28799593" w14:textId="77777777" w:rsidR="00795A5F" w:rsidRDefault="00795A5F" w:rsidP="00795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HelveticaNeue-LightCond">
    <w:altName w:val="Cambria"/>
    <w:panose1 w:val="00000000000000000000"/>
    <w:charset w:val="4D"/>
    <w:family w:val="auto"/>
    <w:notTrueType/>
    <w:pitch w:val="default"/>
    <w:sig w:usb0="00000003" w:usb1="00000000" w:usb2="00000000" w:usb3="00000000" w:csb0="00000001" w:csb1="00000000"/>
  </w:font>
  <w:font w:name="HelveticaNeue-BoldCond">
    <w:altName w:val="Cambria"/>
    <w:panose1 w:val="00000000000000000000"/>
    <w:charset w:val="4D"/>
    <w:family w:val="auto"/>
    <w:notTrueType/>
    <w:pitch w:val="default"/>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700704" w14:textId="77777777" w:rsidR="00795A5F" w:rsidRDefault="00795A5F" w:rsidP="00F73399">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BD27F72" w14:textId="77777777" w:rsidR="00795A5F" w:rsidRDefault="00795A5F" w:rsidP="00795A5F">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C6087" w14:textId="77777777" w:rsidR="00795A5F" w:rsidRDefault="00795A5F" w:rsidP="00F73399">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9567F3">
      <w:rPr>
        <w:rStyle w:val="Numeropagina"/>
        <w:noProof/>
      </w:rPr>
      <w:t>1</w:t>
    </w:r>
    <w:r>
      <w:rPr>
        <w:rStyle w:val="Numeropagina"/>
      </w:rPr>
      <w:fldChar w:fldCharType="end"/>
    </w:r>
  </w:p>
  <w:p w14:paraId="5E89D34F" w14:textId="77777777" w:rsidR="00795A5F" w:rsidRDefault="00795A5F" w:rsidP="00795A5F">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7E9D2D" w14:textId="77777777" w:rsidR="00795A5F" w:rsidRDefault="00795A5F" w:rsidP="00795A5F">
      <w:r>
        <w:separator/>
      </w:r>
    </w:p>
  </w:footnote>
  <w:footnote w:type="continuationSeparator" w:id="0">
    <w:p w14:paraId="5752B4DF" w14:textId="77777777" w:rsidR="00795A5F" w:rsidRDefault="00795A5F" w:rsidP="00795A5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861EF"/>
    <w:multiLevelType w:val="hybridMultilevel"/>
    <w:tmpl w:val="27900DD8"/>
    <w:lvl w:ilvl="0" w:tplc="2A64B60A">
      <w:start w:val="1"/>
      <w:numFmt w:val="decimal"/>
      <w:lvlText w:val="%1"/>
      <w:lvlJc w:val="left"/>
      <w:pPr>
        <w:ind w:left="720" w:hanging="460"/>
      </w:pPr>
      <w:rPr>
        <w:rFonts w:hint="default"/>
        <w:b/>
        <w:u w:val="thick"/>
      </w:rPr>
    </w:lvl>
    <w:lvl w:ilvl="1" w:tplc="04100019" w:tentative="1">
      <w:start w:val="1"/>
      <w:numFmt w:val="lowerLetter"/>
      <w:lvlText w:val="%2."/>
      <w:lvlJc w:val="left"/>
      <w:pPr>
        <w:ind w:left="1340" w:hanging="360"/>
      </w:pPr>
    </w:lvl>
    <w:lvl w:ilvl="2" w:tplc="0410001B" w:tentative="1">
      <w:start w:val="1"/>
      <w:numFmt w:val="lowerRoman"/>
      <w:lvlText w:val="%3."/>
      <w:lvlJc w:val="right"/>
      <w:pPr>
        <w:ind w:left="2060" w:hanging="180"/>
      </w:pPr>
    </w:lvl>
    <w:lvl w:ilvl="3" w:tplc="0410000F" w:tentative="1">
      <w:start w:val="1"/>
      <w:numFmt w:val="decimal"/>
      <w:lvlText w:val="%4."/>
      <w:lvlJc w:val="left"/>
      <w:pPr>
        <w:ind w:left="2780" w:hanging="360"/>
      </w:pPr>
    </w:lvl>
    <w:lvl w:ilvl="4" w:tplc="04100019" w:tentative="1">
      <w:start w:val="1"/>
      <w:numFmt w:val="lowerLetter"/>
      <w:lvlText w:val="%5."/>
      <w:lvlJc w:val="left"/>
      <w:pPr>
        <w:ind w:left="3500" w:hanging="360"/>
      </w:pPr>
    </w:lvl>
    <w:lvl w:ilvl="5" w:tplc="0410001B" w:tentative="1">
      <w:start w:val="1"/>
      <w:numFmt w:val="lowerRoman"/>
      <w:lvlText w:val="%6."/>
      <w:lvlJc w:val="right"/>
      <w:pPr>
        <w:ind w:left="4220" w:hanging="180"/>
      </w:pPr>
    </w:lvl>
    <w:lvl w:ilvl="6" w:tplc="0410000F" w:tentative="1">
      <w:start w:val="1"/>
      <w:numFmt w:val="decimal"/>
      <w:lvlText w:val="%7."/>
      <w:lvlJc w:val="left"/>
      <w:pPr>
        <w:ind w:left="4940" w:hanging="360"/>
      </w:pPr>
    </w:lvl>
    <w:lvl w:ilvl="7" w:tplc="04100019" w:tentative="1">
      <w:start w:val="1"/>
      <w:numFmt w:val="lowerLetter"/>
      <w:lvlText w:val="%8."/>
      <w:lvlJc w:val="left"/>
      <w:pPr>
        <w:ind w:left="5660" w:hanging="360"/>
      </w:pPr>
    </w:lvl>
    <w:lvl w:ilvl="8" w:tplc="0410001B" w:tentative="1">
      <w:start w:val="1"/>
      <w:numFmt w:val="lowerRoman"/>
      <w:lvlText w:val="%9."/>
      <w:lvlJc w:val="right"/>
      <w:pPr>
        <w:ind w:left="63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33E"/>
    <w:rsid w:val="000433A1"/>
    <w:rsid w:val="00145CEC"/>
    <w:rsid w:val="004B67AF"/>
    <w:rsid w:val="00696B36"/>
    <w:rsid w:val="00795A5F"/>
    <w:rsid w:val="00944B72"/>
    <w:rsid w:val="009567F3"/>
    <w:rsid w:val="00960511"/>
    <w:rsid w:val="00A67858"/>
    <w:rsid w:val="00D67EC3"/>
    <w:rsid w:val="00EE233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F750BD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0INTRODOCENTE">
    <w:name w:val="0 INTRO DOCENTE"/>
    <w:basedOn w:val="Normale"/>
    <w:uiPriority w:val="99"/>
    <w:rsid w:val="00EE233E"/>
    <w:pPr>
      <w:widowControl w:val="0"/>
      <w:tabs>
        <w:tab w:val="left" w:pos="2835"/>
      </w:tabs>
      <w:suppressAutoHyphens/>
      <w:autoSpaceDE w:val="0"/>
      <w:autoSpaceDN w:val="0"/>
      <w:adjustRightInd w:val="0"/>
      <w:spacing w:line="220" w:lineRule="atLeast"/>
      <w:textAlignment w:val="center"/>
    </w:pPr>
    <w:rPr>
      <w:rFonts w:ascii="HelveticaNeue-LightCond" w:hAnsi="HelveticaNeue-LightCond" w:cs="HelveticaNeue-LightCond"/>
      <w:color w:val="000000"/>
      <w:spacing w:val="-2"/>
      <w:sz w:val="19"/>
      <w:szCs w:val="19"/>
    </w:rPr>
  </w:style>
  <w:style w:type="paragraph" w:customStyle="1" w:styleId="NoParagraphStyle">
    <w:name w:val="[No Paragraph Style]"/>
    <w:rsid w:val="00EE233E"/>
    <w:pPr>
      <w:widowControl w:val="0"/>
      <w:autoSpaceDE w:val="0"/>
      <w:autoSpaceDN w:val="0"/>
      <w:adjustRightInd w:val="0"/>
      <w:spacing w:line="288" w:lineRule="auto"/>
      <w:textAlignment w:val="center"/>
    </w:pPr>
    <w:rPr>
      <w:rFonts w:ascii="HelveticaNeue-BoldCond" w:hAnsi="HelveticaNeue-BoldCond" w:cs="Times New Roman"/>
      <w:color w:val="000000"/>
    </w:rPr>
  </w:style>
  <w:style w:type="paragraph" w:customStyle="1" w:styleId="03boxarticolo">
    <w:name w:val="03 box articolo"/>
    <w:basedOn w:val="NoParagraphStyle"/>
    <w:uiPriority w:val="99"/>
    <w:rsid w:val="00EE233E"/>
    <w:pPr>
      <w:tabs>
        <w:tab w:val="left" w:pos="170"/>
      </w:tabs>
      <w:spacing w:line="200" w:lineRule="atLeast"/>
    </w:pPr>
    <w:rPr>
      <w:rFonts w:ascii="HelveticaNeue-LightCond" w:hAnsi="HelveticaNeue-LightCond" w:cs="HelveticaNeue-LightCond"/>
      <w:spacing w:val="2"/>
      <w:w w:val="90"/>
      <w:sz w:val="19"/>
      <w:szCs w:val="19"/>
    </w:rPr>
  </w:style>
  <w:style w:type="character" w:styleId="Collegamentoipertestuale">
    <w:name w:val="Hyperlink"/>
    <w:basedOn w:val="Caratterepredefinitoparagrafo"/>
    <w:uiPriority w:val="99"/>
    <w:unhideWhenUsed/>
    <w:rsid w:val="00960511"/>
    <w:rPr>
      <w:color w:val="0000FF" w:themeColor="hyperlink"/>
      <w:u w:val="single"/>
    </w:rPr>
  </w:style>
  <w:style w:type="paragraph" w:styleId="Paragrafoelenco">
    <w:name w:val="List Paragraph"/>
    <w:basedOn w:val="Normale"/>
    <w:uiPriority w:val="34"/>
    <w:qFormat/>
    <w:rsid w:val="00696B36"/>
    <w:pPr>
      <w:ind w:left="720"/>
      <w:contextualSpacing/>
    </w:pPr>
  </w:style>
  <w:style w:type="paragraph" w:styleId="Testofumetto">
    <w:name w:val="Balloon Text"/>
    <w:basedOn w:val="Normale"/>
    <w:link w:val="TestofumettoCarattere"/>
    <w:uiPriority w:val="99"/>
    <w:semiHidden/>
    <w:unhideWhenUsed/>
    <w:rsid w:val="00944B72"/>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944B72"/>
    <w:rPr>
      <w:rFonts w:ascii="Lucida Grande" w:hAnsi="Lucida Grande" w:cs="Lucida Grande"/>
      <w:sz w:val="18"/>
      <w:szCs w:val="18"/>
    </w:rPr>
  </w:style>
  <w:style w:type="paragraph" w:styleId="Pidipagina">
    <w:name w:val="footer"/>
    <w:basedOn w:val="Normale"/>
    <w:link w:val="PidipaginaCarattere"/>
    <w:uiPriority w:val="99"/>
    <w:unhideWhenUsed/>
    <w:rsid w:val="00795A5F"/>
    <w:pPr>
      <w:tabs>
        <w:tab w:val="center" w:pos="4819"/>
        <w:tab w:val="right" w:pos="9638"/>
      </w:tabs>
    </w:pPr>
  </w:style>
  <w:style w:type="character" w:customStyle="1" w:styleId="PidipaginaCarattere">
    <w:name w:val="Piè di pagina Carattere"/>
    <w:basedOn w:val="Caratterepredefinitoparagrafo"/>
    <w:link w:val="Pidipagina"/>
    <w:uiPriority w:val="99"/>
    <w:rsid w:val="00795A5F"/>
  </w:style>
  <w:style w:type="character" w:styleId="Numeropagina">
    <w:name w:val="page number"/>
    <w:basedOn w:val="Caratterepredefinitoparagrafo"/>
    <w:uiPriority w:val="99"/>
    <w:semiHidden/>
    <w:unhideWhenUsed/>
    <w:rsid w:val="00795A5F"/>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0INTRODOCENTE">
    <w:name w:val="0 INTRO DOCENTE"/>
    <w:basedOn w:val="Normale"/>
    <w:uiPriority w:val="99"/>
    <w:rsid w:val="00EE233E"/>
    <w:pPr>
      <w:widowControl w:val="0"/>
      <w:tabs>
        <w:tab w:val="left" w:pos="2835"/>
      </w:tabs>
      <w:suppressAutoHyphens/>
      <w:autoSpaceDE w:val="0"/>
      <w:autoSpaceDN w:val="0"/>
      <w:adjustRightInd w:val="0"/>
      <w:spacing w:line="220" w:lineRule="atLeast"/>
      <w:textAlignment w:val="center"/>
    </w:pPr>
    <w:rPr>
      <w:rFonts w:ascii="HelveticaNeue-LightCond" w:hAnsi="HelveticaNeue-LightCond" w:cs="HelveticaNeue-LightCond"/>
      <w:color w:val="000000"/>
      <w:spacing w:val="-2"/>
      <w:sz w:val="19"/>
      <w:szCs w:val="19"/>
    </w:rPr>
  </w:style>
  <w:style w:type="paragraph" w:customStyle="1" w:styleId="NoParagraphStyle">
    <w:name w:val="[No Paragraph Style]"/>
    <w:rsid w:val="00EE233E"/>
    <w:pPr>
      <w:widowControl w:val="0"/>
      <w:autoSpaceDE w:val="0"/>
      <w:autoSpaceDN w:val="0"/>
      <w:adjustRightInd w:val="0"/>
      <w:spacing w:line="288" w:lineRule="auto"/>
      <w:textAlignment w:val="center"/>
    </w:pPr>
    <w:rPr>
      <w:rFonts w:ascii="HelveticaNeue-BoldCond" w:hAnsi="HelveticaNeue-BoldCond" w:cs="Times New Roman"/>
      <w:color w:val="000000"/>
    </w:rPr>
  </w:style>
  <w:style w:type="paragraph" w:customStyle="1" w:styleId="03boxarticolo">
    <w:name w:val="03 box articolo"/>
    <w:basedOn w:val="NoParagraphStyle"/>
    <w:uiPriority w:val="99"/>
    <w:rsid w:val="00EE233E"/>
    <w:pPr>
      <w:tabs>
        <w:tab w:val="left" w:pos="170"/>
      </w:tabs>
      <w:spacing w:line="200" w:lineRule="atLeast"/>
    </w:pPr>
    <w:rPr>
      <w:rFonts w:ascii="HelveticaNeue-LightCond" w:hAnsi="HelveticaNeue-LightCond" w:cs="HelveticaNeue-LightCond"/>
      <w:spacing w:val="2"/>
      <w:w w:val="90"/>
      <w:sz w:val="19"/>
      <w:szCs w:val="19"/>
    </w:rPr>
  </w:style>
  <w:style w:type="character" w:styleId="Collegamentoipertestuale">
    <w:name w:val="Hyperlink"/>
    <w:basedOn w:val="Caratterepredefinitoparagrafo"/>
    <w:uiPriority w:val="99"/>
    <w:unhideWhenUsed/>
    <w:rsid w:val="00960511"/>
    <w:rPr>
      <w:color w:val="0000FF" w:themeColor="hyperlink"/>
      <w:u w:val="single"/>
    </w:rPr>
  </w:style>
  <w:style w:type="paragraph" w:styleId="Paragrafoelenco">
    <w:name w:val="List Paragraph"/>
    <w:basedOn w:val="Normale"/>
    <w:uiPriority w:val="34"/>
    <w:qFormat/>
    <w:rsid w:val="00696B36"/>
    <w:pPr>
      <w:ind w:left="720"/>
      <w:contextualSpacing/>
    </w:pPr>
  </w:style>
  <w:style w:type="paragraph" w:styleId="Testofumetto">
    <w:name w:val="Balloon Text"/>
    <w:basedOn w:val="Normale"/>
    <w:link w:val="TestofumettoCarattere"/>
    <w:uiPriority w:val="99"/>
    <w:semiHidden/>
    <w:unhideWhenUsed/>
    <w:rsid w:val="00944B72"/>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944B72"/>
    <w:rPr>
      <w:rFonts w:ascii="Lucida Grande" w:hAnsi="Lucida Grande" w:cs="Lucida Grande"/>
      <w:sz w:val="18"/>
      <w:szCs w:val="18"/>
    </w:rPr>
  </w:style>
  <w:style w:type="paragraph" w:styleId="Pidipagina">
    <w:name w:val="footer"/>
    <w:basedOn w:val="Normale"/>
    <w:link w:val="PidipaginaCarattere"/>
    <w:uiPriority w:val="99"/>
    <w:unhideWhenUsed/>
    <w:rsid w:val="00795A5F"/>
    <w:pPr>
      <w:tabs>
        <w:tab w:val="center" w:pos="4819"/>
        <w:tab w:val="right" w:pos="9638"/>
      </w:tabs>
    </w:pPr>
  </w:style>
  <w:style w:type="character" w:customStyle="1" w:styleId="PidipaginaCarattere">
    <w:name w:val="Piè di pagina Carattere"/>
    <w:basedOn w:val="Caratterepredefinitoparagrafo"/>
    <w:link w:val="Pidipagina"/>
    <w:uiPriority w:val="99"/>
    <w:rsid w:val="00795A5F"/>
  </w:style>
  <w:style w:type="character" w:styleId="Numeropagina">
    <w:name w:val="page number"/>
    <w:basedOn w:val="Caratterepredefinitoparagrafo"/>
    <w:uiPriority w:val="99"/>
    <w:semiHidden/>
    <w:unhideWhenUsed/>
    <w:rsid w:val="00795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1.png"/><Relationship Id="rId12" Type="http://schemas.openxmlformats.org/officeDocument/2006/relationships/image" Target="media/image2.png"/><Relationship Id="rId13" Type="http://schemas.openxmlformats.org/officeDocument/2006/relationships/image" Target="media/image3.png"/><Relationship Id="rId14" Type="http://schemas.openxmlformats.org/officeDocument/2006/relationships/image" Target="media/image4.png"/><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unhcr.org/globaltrendsjune2013/" TargetMode="External"/><Relationship Id="rId9" Type="http://schemas.openxmlformats.org/officeDocument/2006/relationships/hyperlink" Target="http://syria.unocha.org" TargetMode="External"/><Relationship Id="rId10" Type="http://schemas.openxmlformats.org/officeDocument/2006/relationships/hyperlink" Target="http://unhcr.org/globaltrendsjune2013/"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9</Pages>
  <Words>2606</Words>
  <Characters>14857</Characters>
  <Application>Microsoft Macintosh Word</Application>
  <DocSecurity>0</DocSecurity>
  <Lines>123</Lines>
  <Paragraphs>34</Paragraphs>
  <ScaleCrop>false</ScaleCrop>
  <Company/>
  <LinksUpToDate>false</LinksUpToDate>
  <CharactersWithSpaces>17429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SSPG1</cp:lastModifiedBy>
  <cp:revision>10</cp:revision>
  <dcterms:created xsi:type="dcterms:W3CDTF">2013-12-09T20:36:00Z</dcterms:created>
  <dcterms:modified xsi:type="dcterms:W3CDTF">2013-12-11T08:33:00Z</dcterms:modified>
</cp:coreProperties>
</file>